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1D1C" w14:textId="77777777" w:rsidR="001A24C4" w:rsidRPr="005C2002" w:rsidRDefault="00E00B4F" w:rsidP="00CF17F4">
      <w:pPr>
        <w:ind w:left="426" w:hanging="426"/>
        <w:jc w:val="center"/>
        <w:rPr>
          <w:rFonts w:ascii="Arial" w:hAnsi="Arial" w:cs="Arial"/>
          <w:b/>
          <w:sz w:val="18"/>
          <w:szCs w:val="18"/>
          <w:lang w:val="ro-RO"/>
        </w:rPr>
      </w:pPr>
      <w:r w:rsidRPr="005C2002">
        <w:rPr>
          <w:rFonts w:ascii="Arial" w:hAnsi="Arial" w:cs="Arial"/>
          <w:b/>
          <w:sz w:val="18"/>
          <w:szCs w:val="18"/>
          <w:lang w:val="ro-RO"/>
        </w:rPr>
        <w:t xml:space="preserve">Webasto </w:t>
      </w:r>
      <w:r w:rsidR="00F7747B" w:rsidRPr="005C2002">
        <w:rPr>
          <w:rFonts w:ascii="Arial" w:hAnsi="Arial" w:cs="Arial"/>
          <w:b/>
          <w:sz w:val="18"/>
          <w:szCs w:val="18"/>
          <w:lang w:val="ro-RO"/>
        </w:rPr>
        <w:t xml:space="preserve">Contract-cadru de </w:t>
      </w:r>
      <w:r w:rsidR="00F73DB0">
        <w:rPr>
          <w:rFonts w:ascii="Arial" w:hAnsi="Arial" w:cs="Arial"/>
          <w:b/>
          <w:sz w:val="18"/>
          <w:szCs w:val="18"/>
          <w:lang w:val="ro-RO"/>
        </w:rPr>
        <w:t>furniz</w:t>
      </w:r>
      <w:r w:rsidR="00F7747B" w:rsidRPr="005C2002">
        <w:rPr>
          <w:rFonts w:ascii="Arial" w:hAnsi="Arial" w:cs="Arial"/>
          <w:b/>
          <w:sz w:val="18"/>
          <w:szCs w:val="18"/>
          <w:lang w:val="ro-RO"/>
        </w:rPr>
        <w:t xml:space="preserve">are </w:t>
      </w:r>
    </w:p>
    <w:p w14:paraId="0708C019" w14:textId="58DF72C2" w:rsidR="00E00B4F" w:rsidRPr="005C2002" w:rsidRDefault="00E00B4F" w:rsidP="00E421B9">
      <w:pPr>
        <w:ind w:left="2832" w:firstLine="708"/>
        <w:rPr>
          <w:rFonts w:ascii="Arial" w:hAnsi="Arial" w:cs="Arial"/>
          <w:sz w:val="18"/>
          <w:szCs w:val="18"/>
          <w:lang w:val="ro-RO"/>
        </w:rPr>
      </w:pPr>
      <w:r w:rsidRPr="005C2002">
        <w:rPr>
          <w:rFonts w:ascii="Arial" w:hAnsi="Arial" w:cs="Arial"/>
          <w:b/>
          <w:sz w:val="18"/>
          <w:szCs w:val="18"/>
          <w:lang w:val="ro-RO"/>
        </w:rPr>
        <w:t>(</w:t>
      </w:r>
      <w:r w:rsidR="00DA1EBD">
        <w:rPr>
          <w:rFonts w:ascii="Arial" w:hAnsi="Arial" w:cs="Arial"/>
          <w:b/>
          <w:sz w:val="18"/>
          <w:szCs w:val="18"/>
          <w:lang w:val="ro-RO"/>
        </w:rPr>
        <w:t>varianta</w:t>
      </w:r>
      <w:r w:rsidRPr="005C2002">
        <w:rPr>
          <w:rFonts w:ascii="Arial" w:hAnsi="Arial" w:cs="Arial"/>
          <w:b/>
          <w:sz w:val="18"/>
          <w:szCs w:val="18"/>
          <w:lang w:val="ro-RO"/>
        </w:rPr>
        <w:t xml:space="preserve">: </w:t>
      </w:r>
      <w:r w:rsidR="00F7747B" w:rsidRPr="005C2002">
        <w:rPr>
          <w:rFonts w:ascii="Arial" w:hAnsi="Arial" w:cs="Arial"/>
          <w:b/>
          <w:sz w:val="18"/>
          <w:szCs w:val="18"/>
          <w:lang w:val="ro-RO"/>
        </w:rPr>
        <w:t xml:space="preserve">martie </w:t>
      </w:r>
      <w:r w:rsidRPr="005C2002">
        <w:rPr>
          <w:rFonts w:ascii="Arial" w:hAnsi="Arial" w:cs="Arial"/>
          <w:b/>
          <w:sz w:val="18"/>
          <w:szCs w:val="18"/>
          <w:lang w:val="ro-RO"/>
        </w:rPr>
        <w:t>2018)</w:t>
      </w:r>
    </w:p>
    <w:p w14:paraId="75BE3B8C" w14:textId="77777777" w:rsidR="004C2F01" w:rsidRPr="005C2002" w:rsidRDefault="004C2F01" w:rsidP="00CF17F4">
      <w:pPr>
        <w:ind w:left="426" w:hanging="426"/>
        <w:jc w:val="both"/>
        <w:rPr>
          <w:rFonts w:ascii="Arial" w:hAnsi="Arial" w:cs="Arial"/>
          <w:sz w:val="18"/>
          <w:szCs w:val="18"/>
          <w:lang w:val="ro-RO"/>
        </w:rPr>
      </w:pPr>
    </w:p>
    <w:p w14:paraId="1DFF5A1B" w14:textId="77777777" w:rsidR="004C2F01" w:rsidRPr="005C2002" w:rsidRDefault="00F7747B" w:rsidP="00CF17F4">
      <w:pPr>
        <w:ind w:left="426" w:hanging="426"/>
        <w:jc w:val="both"/>
        <w:rPr>
          <w:rFonts w:ascii="Arial" w:hAnsi="Arial" w:cs="Arial"/>
          <w:sz w:val="18"/>
          <w:szCs w:val="18"/>
          <w:lang w:val="ro-RO"/>
        </w:rPr>
      </w:pPr>
      <w:r w:rsidRPr="005C2002">
        <w:rPr>
          <w:rFonts w:ascii="Arial" w:hAnsi="Arial" w:cs="Arial"/>
          <w:sz w:val="18"/>
          <w:szCs w:val="18"/>
          <w:lang w:val="ro-RO"/>
        </w:rPr>
        <w:t>între</w:t>
      </w:r>
    </w:p>
    <w:p w14:paraId="6830752E" w14:textId="77777777" w:rsidR="004C2F01" w:rsidRPr="005C2002" w:rsidRDefault="004C2F01" w:rsidP="00CF17F4">
      <w:pPr>
        <w:ind w:left="426" w:hanging="426"/>
        <w:jc w:val="both"/>
        <w:rPr>
          <w:rFonts w:ascii="Arial" w:hAnsi="Arial" w:cs="Arial"/>
          <w:sz w:val="18"/>
          <w:szCs w:val="18"/>
          <w:lang w:val="ro-RO"/>
        </w:rPr>
      </w:pPr>
    </w:p>
    <w:p w14:paraId="260C4878" w14:textId="77777777" w:rsidR="004C2F01" w:rsidRPr="005C2002" w:rsidRDefault="004B262D" w:rsidP="00CF17F4">
      <w:pPr>
        <w:ind w:left="426" w:hanging="426"/>
        <w:jc w:val="both"/>
        <w:rPr>
          <w:rFonts w:ascii="Arial" w:hAnsi="Arial" w:cs="Arial"/>
          <w:sz w:val="18"/>
          <w:szCs w:val="18"/>
          <w:lang w:val="ro-RO"/>
        </w:rPr>
      </w:pPr>
      <w:r w:rsidRPr="005C2002">
        <w:rPr>
          <w:rFonts w:ascii="Arial" w:hAnsi="Arial" w:cs="Arial"/>
          <w:sz w:val="18"/>
          <w:szCs w:val="18"/>
          <w:lang w:val="ro-RO"/>
        </w:rPr>
        <w:t>1.</w:t>
      </w:r>
      <w:r w:rsidRPr="005C2002">
        <w:rPr>
          <w:rFonts w:ascii="Arial" w:hAnsi="Arial" w:cs="Arial"/>
          <w:sz w:val="18"/>
          <w:szCs w:val="18"/>
          <w:lang w:val="ro-RO"/>
        </w:rPr>
        <w:tab/>
      </w:r>
      <w:r w:rsidR="00466371" w:rsidRPr="005C2002">
        <w:rPr>
          <w:rFonts w:ascii="Arial" w:hAnsi="Arial" w:cs="Arial"/>
          <w:b/>
          <w:sz w:val="18"/>
          <w:szCs w:val="18"/>
          <w:lang w:val="ro-RO"/>
        </w:rPr>
        <w:t>[</w:t>
      </w:r>
      <w:r w:rsidR="00F7747B" w:rsidRPr="005C2002">
        <w:rPr>
          <w:rFonts w:ascii="Arial" w:hAnsi="Arial" w:cs="Arial"/>
          <w:b/>
          <w:sz w:val="18"/>
          <w:szCs w:val="18"/>
          <w:highlight w:val="yellow"/>
          <w:lang w:val="ro-RO"/>
        </w:rPr>
        <w:t>Societatea semnatară de contract</w:t>
      </w:r>
      <w:r w:rsidR="00466371" w:rsidRPr="005C2002">
        <w:rPr>
          <w:rFonts w:ascii="Arial" w:hAnsi="Arial" w:cs="Arial"/>
          <w:b/>
          <w:sz w:val="18"/>
          <w:szCs w:val="18"/>
          <w:highlight w:val="yellow"/>
          <w:lang w:val="ro-RO"/>
        </w:rPr>
        <w:t xml:space="preserve"> Webasto</w:t>
      </w:r>
      <w:r w:rsidR="00466371" w:rsidRPr="005C2002">
        <w:rPr>
          <w:rFonts w:ascii="Arial" w:hAnsi="Arial" w:cs="Arial"/>
          <w:b/>
          <w:sz w:val="18"/>
          <w:szCs w:val="18"/>
          <w:lang w:val="ro-RO"/>
        </w:rPr>
        <w:t>]</w:t>
      </w:r>
      <w:r w:rsidRPr="005C2002">
        <w:rPr>
          <w:rFonts w:ascii="Arial" w:hAnsi="Arial" w:cs="Arial"/>
          <w:sz w:val="18"/>
          <w:szCs w:val="18"/>
          <w:lang w:val="ro-RO"/>
        </w:rPr>
        <w:t>,</w:t>
      </w:r>
    </w:p>
    <w:p w14:paraId="4044E681" w14:textId="77777777" w:rsidR="00466371" w:rsidRPr="005C2002" w:rsidRDefault="00466371" w:rsidP="00206034">
      <w:pPr>
        <w:ind w:left="426"/>
        <w:jc w:val="both"/>
        <w:rPr>
          <w:rFonts w:ascii="Arial" w:hAnsi="Arial" w:cs="Arial"/>
          <w:sz w:val="18"/>
          <w:szCs w:val="18"/>
          <w:lang w:val="ro-RO"/>
        </w:rPr>
      </w:pPr>
      <w:r w:rsidRPr="005C2002">
        <w:rPr>
          <w:rFonts w:ascii="Arial" w:hAnsi="Arial" w:cs="Arial"/>
          <w:sz w:val="18"/>
          <w:szCs w:val="18"/>
          <w:lang w:val="ro-RO"/>
        </w:rPr>
        <w:t>[</w:t>
      </w:r>
      <w:r w:rsidRPr="005C2002">
        <w:rPr>
          <w:rFonts w:ascii="Arial" w:hAnsi="Arial" w:cs="Arial"/>
          <w:sz w:val="18"/>
          <w:szCs w:val="18"/>
          <w:highlight w:val="yellow"/>
          <w:lang w:val="ro-RO"/>
        </w:rPr>
        <w:t>Adres</w:t>
      </w:r>
      <w:r w:rsidR="00F7747B" w:rsidRPr="005C2002">
        <w:rPr>
          <w:rFonts w:ascii="Arial" w:hAnsi="Arial" w:cs="Arial"/>
          <w:sz w:val="18"/>
          <w:szCs w:val="18"/>
          <w:highlight w:val="yellow"/>
          <w:lang w:val="ro-RO"/>
        </w:rPr>
        <w:t>a</w:t>
      </w:r>
      <w:r w:rsidRPr="005C2002">
        <w:rPr>
          <w:rFonts w:ascii="Arial" w:hAnsi="Arial" w:cs="Arial"/>
          <w:sz w:val="18"/>
          <w:szCs w:val="18"/>
          <w:lang w:val="ro-RO"/>
        </w:rPr>
        <w:t>]</w:t>
      </w:r>
      <w:r w:rsidR="004B262D" w:rsidRPr="005C2002">
        <w:rPr>
          <w:rFonts w:ascii="Arial" w:hAnsi="Arial" w:cs="Arial"/>
          <w:sz w:val="18"/>
          <w:szCs w:val="18"/>
          <w:lang w:val="ro-RO"/>
        </w:rPr>
        <w:t>,</w:t>
      </w:r>
    </w:p>
    <w:p w14:paraId="2E4BC492" w14:textId="77777777" w:rsidR="004B262D" w:rsidRPr="005C2002" w:rsidRDefault="004B262D" w:rsidP="00CF17F4">
      <w:pPr>
        <w:ind w:left="426" w:hanging="426"/>
        <w:jc w:val="both"/>
        <w:rPr>
          <w:rFonts w:ascii="Arial" w:hAnsi="Arial" w:cs="Arial"/>
          <w:sz w:val="18"/>
          <w:szCs w:val="18"/>
          <w:lang w:val="ro-RO"/>
        </w:rPr>
      </w:pPr>
    </w:p>
    <w:p w14:paraId="2BC0E97C" w14:textId="77777777" w:rsidR="004C2F01" w:rsidRPr="005C2002" w:rsidRDefault="004C2F01" w:rsidP="00CF17F4">
      <w:pPr>
        <w:ind w:left="426" w:hanging="426"/>
        <w:jc w:val="right"/>
        <w:rPr>
          <w:rFonts w:ascii="Arial" w:hAnsi="Arial" w:cs="Arial"/>
          <w:sz w:val="18"/>
          <w:szCs w:val="18"/>
          <w:lang w:val="ro-RO"/>
        </w:rPr>
      </w:pPr>
      <w:r w:rsidRPr="005C2002">
        <w:rPr>
          <w:rFonts w:ascii="Arial" w:hAnsi="Arial" w:cs="Arial"/>
          <w:sz w:val="18"/>
          <w:szCs w:val="18"/>
          <w:lang w:val="ro-RO"/>
        </w:rPr>
        <w:t xml:space="preserve"> </w:t>
      </w:r>
      <w:r w:rsidR="004B262D" w:rsidRPr="005C2002">
        <w:rPr>
          <w:rFonts w:ascii="Arial" w:hAnsi="Arial" w:cs="Arial"/>
          <w:sz w:val="18"/>
          <w:szCs w:val="18"/>
          <w:lang w:val="ro-RO"/>
        </w:rPr>
        <w:t xml:space="preserve">– </w:t>
      </w:r>
      <w:r w:rsidRPr="005C2002">
        <w:rPr>
          <w:rFonts w:ascii="Arial" w:hAnsi="Arial" w:cs="Arial"/>
          <w:sz w:val="18"/>
          <w:szCs w:val="18"/>
          <w:lang w:val="ro-RO"/>
        </w:rPr>
        <w:t>„</w:t>
      </w:r>
      <w:r w:rsidR="009A2542" w:rsidRPr="005C2002">
        <w:rPr>
          <w:rFonts w:ascii="Arial" w:hAnsi="Arial" w:cs="Arial"/>
          <w:b/>
          <w:sz w:val="18"/>
          <w:szCs w:val="18"/>
          <w:lang w:val="ro-RO"/>
        </w:rPr>
        <w:t>Webasto</w:t>
      </w:r>
      <w:r w:rsidRPr="005C2002">
        <w:rPr>
          <w:rFonts w:ascii="Arial" w:hAnsi="Arial" w:cs="Arial"/>
          <w:sz w:val="18"/>
          <w:szCs w:val="18"/>
          <w:lang w:val="ro-RO"/>
        </w:rPr>
        <w:t xml:space="preserve">“ </w:t>
      </w:r>
      <w:r w:rsidR="004B262D" w:rsidRPr="005C2002">
        <w:rPr>
          <w:rFonts w:ascii="Arial" w:hAnsi="Arial" w:cs="Arial"/>
          <w:sz w:val="18"/>
          <w:szCs w:val="18"/>
          <w:lang w:val="ro-RO"/>
        </w:rPr>
        <w:t>–,</w:t>
      </w:r>
    </w:p>
    <w:p w14:paraId="22CA08B9" w14:textId="77777777" w:rsidR="004C2F01" w:rsidRPr="005C2002" w:rsidRDefault="004C2F01" w:rsidP="00CF17F4">
      <w:pPr>
        <w:ind w:left="426" w:hanging="426"/>
        <w:jc w:val="both"/>
        <w:rPr>
          <w:rFonts w:ascii="Arial" w:hAnsi="Arial" w:cs="Arial"/>
          <w:sz w:val="18"/>
          <w:szCs w:val="18"/>
          <w:lang w:val="ro-RO"/>
        </w:rPr>
      </w:pPr>
    </w:p>
    <w:p w14:paraId="3BBD7068" w14:textId="77777777" w:rsidR="004C2F01" w:rsidRPr="005C2002" w:rsidRDefault="00F7747B" w:rsidP="00CF17F4">
      <w:pPr>
        <w:ind w:left="426" w:hanging="426"/>
        <w:jc w:val="both"/>
        <w:rPr>
          <w:rFonts w:ascii="Arial" w:hAnsi="Arial" w:cs="Arial"/>
          <w:sz w:val="18"/>
          <w:szCs w:val="18"/>
          <w:lang w:val="ro-RO"/>
        </w:rPr>
      </w:pPr>
      <w:r w:rsidRPr="005C2002">
        <w:rPr>
          <w:rFonts w:ascii="Arial" w:hAnsi="Arial" w:cs="Arial"/>
          <w:sz w:val="18"/>
          <w:szCs w:val="18"/>
          <w:lang w:val="ro-RO"/>
        </w:rPr>
        <w:t>și</w:t>
      </w:r>
    </w:p>
    <w:p w14:paraId="6D8E1F65" w14:textId="77777777" w:rsidR="004C2F01" w:rsidRPr="005C2002" w:rsidRDefault="004C2F01" w:rsidP="00CF17F4">
      <w:pPr>
        <w:ind w:left="426" w:hanging="426"/>
        <w:jc w:val="both"/>
        <w:rPr>
          <w:rFonts w:ascii="Arial" w:hAnsi="Arial" w:cs="Arial"/>
          <w:sz w:val="18"/>
          <w:szCs w:val="18"/>
          <w:lang w:val="ro-RO"/>
        </w:rPr>
      </w:pPr>
    </w:p>
    <w:p w14:paraId="005748D3" w14:textId="77777777" w:rsidR="00466371" w:rsidRPr="005C2002" w:rsidRDefault="004B262D" w:rsidP="00CF17F4">
      <w:pPr>
        <w:ind w:left="426" w:hanging="426"/>
        <w:jc w:val="both"/>
        <w:rPr>
          <w:rFonts w:ascii="Arial" w:hAnsi="Arial" w:cs="Arial"/>
          <w:sz w:val="18"/>
          <w:szCs w:val="18"/>
          <w:lang w:val="ro-RO"/>
        </w:rPr>
      </w:pPr>
      <w:r w:rsidRPr="005C2002">
        <w:rPr>
          <w:rFonts w:ascii="Arial" w:hAnsi="Arial" w:cs="Arial"/>
          <w:sz w:val="18"/>
          <w:szCs w:val="18"/>
          <w:lang w:val="ro-RO"/>
        </w:rPr>
        <w:t>2.</w:t>
      </w:r>
      <w:r w:rsidRPr="005C2002">
        <w:rPr>
          <w:rFonts w:ascii="Arial" w:hAnsi="Arial" w:cs="Arial"/>
          <w:sz w:val="18"/>
          <w:szCs w:val="18"/>
          <w:lang w:val="ro-RO"/>
        </w:rPr>
        <w:tab/>
      </w:r>
      <w:r w:rsidR="00466371" w:rsidRPr="005C2002">
        <w:rPr>
          <w:rFonts w:ascii="Arial" w:hAnsi="Arial" w:cs="Arial"/>
          <w:b/>
          <w:sz w:val="18"/>
          <w:szCs w:val="18"/>
          <w:lang w:val="ro-RO"/>
        </w:rPr>
        <w:t>[</w:t>
      </w:r>
      <w:r w:rsidR="00F7747B" w:rsidRPr="005C2002">
        <w:rPr>
          <w:rFonts w:ascii="Arial" w:hAnsi="Arial" w:cs="Arial"/>
          <w:b/>
          <w:sz w:val="18"/>
          <w:szCs w:val="18"/>
          <w:highlight w:val="yellow"/>
          <w:lang w:val="ro-RO"/>
        </w:rPr>
        <w:t>Furnizor</w:t>
      </w:r>
      <w:r w:rsidR="00466371" w:rsidRPr="005C2002">
        <w:rPr>
          <w:rFonts w:ascii="Arial" w:hAnsi="Arial" w:cs="Arial"/>
          <w:b/>
          <w:sz w:val="18"/>
          <w:szCs w:val="18"/>
          <w:lang w:val="ro-RO"/>
        </w:rPr>
        <w:t>]</w:t>
      </w:r>
      <w:r w:rsidRPr="005C2002">
        <w:rPr>
          <w:rFonts w:ascii="Arial" w:hAnsi="Arial" w:cs="Arial"/>
          <w:sz w:val="18"/>
          <w:szCs w:val="18"/>
          <w:lang w:val="ro-RO"/>
        </w:rPr>
        <w:t>,</w:t>
      </w:r>
    </w:p>
    <w:p w14:paraId="2F91861E" w14:textId="77777777" w:rsidR="00466371" w:rsidRPr="005C2002" w:rsidRDefault="00466371" w:rsidP="00206034">
      <w:pPr>
        <w:ind w:left="426"/>
        <w:jc w:val="both"/>
        <w:rPr>
          <w:rFonts w:ascii="Arial" w:hAnsi="Arial" w:cs="Arial"/>
          <w:sz w:val="18"/>
          <w:szCs w:val="18"/>
          <w:lang w:val="ro-RO"/>
        </w:rPr>
      </w:pPr>
      <w:r w:rsidRPr="005C2002">
        <w:rPr>
          <w:rFonts w:ascii="Arial" w:hAnsi="Arial" w:cs="Arial"/>
          <w:sz w:val="18"/>
          <w:szCs w:val="18"/>
          <w:lang w:val="ro-RO"/>
        </w:rPr>
        <w:t>[</w:t>
      </w:r>
      <w:r w:rsidRPr="005C2002">
        <w:rPr>
          <w:rFonts w:ascii="Arial" w:hAnsi="Arial" w:cs="Arial"/>
          <w:sz w:val="18"/>
          <w:szCs w:val="18"/>
          <w:highlight w:val="yellow"/>
          <w:lang w:val="ro-RO"/>
        </w:rPr>
        <w:t>Adres</w:t>
      </w:r>
      <w:r w:rsidR="00F7747B" w:rsidRPr="005C2002">
        <w:rPr>
          <w:rFonts w:ascii="Arial" w:hAnsi="Arial" w:cs="Arial"/>
          <w:sz w:val="18"/>
          <w:szCs w:val="18"/>
          <w:highlight w:val="yellow"/>
          <w:lang w:val="ro-RO"/>
        </w:rPr>
        <w:t>a</w:t>
      </w:r>
      <w:r w:rsidR="004B262D" w:rsidRPr="005C2002">
        <w:rPr>
          <w:rFonts w:ascii="Arial" w:hAnsi="Arial" w:cs="Arial"/>
          <w:sz w:val="18"/>
          <w:szCs w:val="18"/>
          <w:lang w:val="ro-RO"/>
        </w:rPr>
        <w:t>],</w:t>
      </w:r>
    </w:p>
    <w:p w14:paraId="7CD300F7" w14:textId="77777777" w:rsidR="004B262D" w:rsidRPr="005C2002" w:rsidRDefault="004B262D" w:rsidP="00CF17F4">
      <w:pPr>
        <w:ind w:left="426" w:hanging="426"/>
        <w:jc w:val="both"/>
        <w:rPr>
          <w:rFonts w:ascii="Arial" w:hAnsi="Arial" w:cs="Arial"/>
          <w:sz w:val="18"/>
          <w:szCs w:val="18"/>
          <w:lang w:val="ro-RO"/>
        </w:rPr>
      </w:pPr>
    </w:p>
    <w:p w14:paraId="45D90AAD" w14:textId="77777777" w:rsidR="004C2F01" w:rsidRPr="005C2002" w:rsidRDefault="004B262D" w:rsidP="00CF17F4">
      <w:pPr>
        <w:ind w:left="426" w:hanging="426"/>
        <w:jc w:val="right"/>
        <w:rPr>
          <w:rFonts w:ascii="Arial" w:hAnsi="Arial" w:cs="Arial"/>
          <w:sz w:val="18"/>
          <w:szCs w:val="18"/>
          <w:lang w:val="ro-RO"/>
        </w:rPr>
      </w:pPr>
      <w:r w:rsidRPr="005C2002">
        <w:rPr>
          <w:rFonts w:ascii="Arial" w:hAnsi="Arial" w:cs="Arial"/>
          <w:sz w:val="18"/>
          <w:szCs w:val="18"/>
          <w:lang w:val="ro-RO"/>
        </w:rPr>
        <w:t xml:space="preserve">– </w:t>
      </w:r>
      <w:r w:rsidR="004C2F01" w:rsidRPr="005C2002">
        <w:rPr>
          <w:rFonts w:ascii="Arial" w:hAnsi="Arial" w:cs="Arial"/>
          <w:sz w:val="18"/>
          <w:szCs w:val="18"/>
          <w:lang w:val="ro-RO"/>
        </w:rPr>
        <w:t>„</w:t>
      </w:r>
      <w:r w:rsidR="00F7747B" w:rsidRPr="005C2002">
        <w:rPr>
          <w:rFonts w:ascii="Arial" w:hAnsi="Arial" w:cs="Arial"/>
          <w:b/>
          <w:sz w:val="18"/>
          <w:szCs w:val="18"/>
          <w:lang w:val="ro-RO"/>
        </w:rPr>
        <w:t>Furnizor</w:t>
      </w:r>
      <w:r w:rsidR="004C2F01" w:rsidRPr="005C2002">
        <w:rPr>
          <w:rFonts w:ascii="Arial" w:hAnsi="Arial" w:cs="Arial"/>
          <w:sz w:val="18"/>
          <w:szCs w:val="18"/>
          <w:lang w:val="ro-RO"/>
        </w:rPr>
        <w:t xml:space="preserve">“ </w:t>
      </w:r>
      <w:r w:rsidR="00EF5170" w:rsidRPr="005C2002">
        <w:rPr>
          <w:rFonts w:ascii="Arial" w:hAnsi="Arial" w:cs="Arial"/>
          <w:sz w:val="18"/>
          <w:szCs w:val="18"/>
          <w:lang w:val="ro-RO"/>
        </w:rPr>
        <w:t>–</w:t>
      </w:r>
      <w:r w:rsidR="00CF17F4" w:rsidRPr="005C2002">
        <w:rPr>
          <w:rFonts w:ascii="Arial" w:hAnsi="Arial" w:cs="Arial"/>
          <w:sz w:val="18"/>
          <w:szCs w:val="18"/>
          <w:lang w:val="ro-RO"/>
        </w:rPr>
        <w:t>,</w:t>
      </w:r>
    </w:p>
    <w:p w14:paraId="327B6DEF" w14:textId="77777777" w:rsidR="00EF5170" w:rsidRPr="005C2002" w:rsidRDefault="00EF5170" w:rsidP="00CF17F4">
      <w:pPr>
        <w:ind w:left="426" w:hanging="426"/>
        <w:jc w:val="both"/>
        <w:rPr>
          <w:rFonts w:ascii="Arial" w:hAnsi="Arial" w:cs="Arial"/>
          <w:sz w:val="18"/>
          <w:szCs w:val="18"/>
          <w:lang w:val="ro-RO"/>
        </w:rPr>
      </w:pPr>
    </w:p>
    <w:p w14:paraId="4435308E" w14:textId="04115DD7" w:rsidR="00EF5170" w:rsidRPr="005C2002" w:rsidRDefault="004B262D" w:rsidP="00CF17F4">
      <w:pPr>
        <w:ind w:left="426" w:hanging="426"/>
        <w:jc w:val="right"/>
        <w:rPr>
          <w:rFonts w:ascii="Arial" w:hAnsi="Arial" w:cs="Arial"/>
          <w:sz w:val="18"/>
          <w:szCs w:val="18"/>
          <w:lang w:val="ro-RO"/>
        </w:rPr>
      </w:pPr>
      <w:r w:rsidRPr="005C2002">
        <w:rPr>
          <w:rFonts w:ascii="Arial" w:hAnsi="Arial" w:cs="Arial"/>
          <w:sz w:val="18"/>
          <w:szCs w:val="18"/>
          <w:lang w:val="ro-RO"/>
        </w:rPr>
        <w:t>–</w:t>
      </w:r>
      <w:r w:rsidR="00EF5170" w:rsidRPr="005C2002">
        <w:rPr>
          <w:rFonts w:ascii="Arial" w:hAnsi="Arial" w:cs="Arial"/>
          <w:sz w:val="18"/>
          <w:szCs w:val="18"/>
          <w:lang w:val="ro-RO"/>
        </w:rPr>
        <w:t xml:space="preserve"> </w:t>
      </w:r>
      <w:r w:rsidRPr="005C2002">
        <w:rPr>
          <w:rFonts w:ascii="Arial" w:hAnsi="Arial" w:cs="Arial"/>
          <w:sz w:val="18"/>
          <w:szCs w:val="18"/>
          <w:lang w:val="ro-RO"/>
        </w:rPr>
        <w:t xml:space="preserve">Webasto </w:t>
      </w:r>
      <w:r w:rsidR="00F7747B" w:rsidRPr="005C2002">
        <w:rPr>
          <w:rFonts w:ascii="Arial" w:hAnsi="Arial" w:cs="Arial"/>
          <w:sz w:val="18"/>
          <w:szCs w:val="18"/>
          <w:lang w:val="ro-RO"/>
        </w:rPr>
        <w:t xml:space="preserve">și furnizorul sunt denumiți în mod individual </w:t>
      </w:r>
      <w:r w:rsidRPr="005C2002">
        <w:rPr>
          <w:rFonts w:ascii="Arial" w:hAnsi="Arial" w:cs="Arial"/>
          <w:sz w:val="18"/>
          <w:szCs w:val="18"/>
          <w:lang w:val="ro-RO"/>
        </w:rPr>
        <w:t>„</w:t>
      </w:r>
      <w:r w:rsidRPr="005C2002">
        <w:rPr>
          <w:rFonts w:ascii="Arial" w:hAnsi="Arial" w:cs="Arial"/>
          <w:b/>
          <w:sz w:val="18"/>
          <w:szCs w:val="18"/>
          <w:lang w:val="ro-RO"/>
        </w:rPr>
        <w:t>Parte</w:t>
      </w:r>
      <w:r w:rsidR="003B44CE">
        <w:rPr>
          <w:rFonts w:ascii="Arial" w:hAnsi="Arial" w:cs="Arial"/>
          <w:b/>
          <w:sz w:val="18"/>
          <w:szCs w:val="18"/>
          <w:lang w:val="ro-RO"/>
        </w:rPr>
        <w:t>/</w:t>
      </w:r>
      <w:r w:rsidR="00F7747B" w:rsidRPr="005C2002">
        <w:rPr>
          <w:rFonts w:ascii="Arial" w:hAnsi="Arial" w:cs="Arial"/>
          <w:b/>
          <w:sz w:val="18"/>
          <w:szCs w:val="18"/>
          <w:lang w:val="ro-RO"/>
        </w:rPr>
        <w:t>Partea</w:t>
      </w:r>
      <w:r w:rsidRPr="005C2002">
        <w:rPr>
          <w:rFonts w:ascii="Arial" w:hAnsi="Arial" w:cs="Arial"/>
          <w:sz w:val="18"/>
          <w:szCs w:val="18"/>
          <w:lang w:val="ro-RO"/>
        </w:rPr>
        <w:t xml:space="preserve">“ </w:t>
      </w:r>
      <w:r w:rsidR="00F7747B" w:rsidRPr="005C2002">
        <w:rPr>
          <w:rFonts w:ascii="Arial" w:hAnsi="Arial" w:cs="Arial"/>
          <w:sz w:val="18"/>
          <w:szCs w:val="18"/>
          <w:lang w:val="ro-RO"/>
        </w:rPr>
        <w:t>și împreună și</w:t>
      </w:r>
      <w:r w:rsidRPr="005C2002">
        <w:rPr>
          <w:rFonts w:ascii="Arial" w:hAnsi="Arial" w:cs="Arial"/>
          <w:sz w:val="18"/>
          <w:szCs w:val="18"/>
          <w:lang w:val="ro-RO"/>
        </w:rPr>
        <w:t xml:space="preserve"> </w:t>
      </w:r>
      <w:r w:rsidR="00EF5170" w:rsidRPr="005C2002">
        <w:rPr>
          <w:rFonts w:ascii="Arial" w:hAnsi="Arial" w:cs="Arial"/>
          <w:sz w:val="18"/>
          <w:szCs w:val="18"/>
          <w:lang w:val="ro-RO"/>
        </w:rPr>
        <w:t>„</w:t>
      </w:r>
      <w:r w:rsidR="00EF5170" w:rsidRPr="005C2002">
        <w:rPr>
          <w:rFonts w:ascii="Arial" w:hAnsi="Arial" w:cs="Arial"/>
          <w:b/>
          <w:sz w:val="18"/>
          <w:szCs w:val="18"/>
          <w:lang w:val="ro-RO"/>
        </w:rPr>
        <w:t>P</w:t>
      </w:r>
      <w:r w:rsidR="00F7747B" w:rsidRPr="005C2002">
        <w:rPr>
          <w:rFonts w:ascii="Arial" w:hAnsi="Arial" w:cs="Arial"/>
          <w:b/>
          <w:sz w:val="18"/>
          <w:szCs w:val="18"/>
          <w:lang w:val="ro-RO"/>
        </w:rPr>
        <w:t>ărți</w:t>
      </w:r>
      <w:r w:rsidR="003B44CE">
        <w:rPr>
          <w:rFonts w:ascii="Arial" w:hAnsi="Arial" w:cs="Arial"/>
          <w:b/>
          <w:sz w:val="18"/>
          <w:szCs w:val="18"/>
          <w:lang w:val="ro-RO"/>
        </w:rPr>
        <w:t>/</w:t>
      </w:r>
      <w:r w:rsidR="00F7747B" w:rsidRPr="005C2002">
        <w:rPr>
          <w:rFonts w:ascii="Arial" w:hAnsi="Arial" w:cs="Arial"/>
          <w:b/>
          <w:sz w:val="18"/>
          <w:szCs w:val="18"/>
          <w:lang w:val="ro-RO"/>
        </w:rPr>
        <w:t>Părțile</w:t>
      </w:r>
      <w:r w:rsidR="00EF5170" w:rsidRPr="005C2002">
        <w:rPr>
          <w:rFonts w:ascii="Arial" w:hAnsi="Arial" w:cs="Arial"/>
          <w:sz w:val="18"/>
          <w:szCs w:val="18"/>
          <w:lang w:val="ro-RO"/>
        </w:rPr>
        <w:t>“</w:t>
      </w:r>
      <w:r w:rsidRPr="005C2002">
        <w:rPr>
          <w:rFonts w:ascii="Arial" w:hAnsi="Arial" w:cs="Arial"/>
          <w:sz w:val="18"/>
          <w:szCs w:val="18"/>
          <w:lang w:val="ro-RO"/>
        </w:rPr>
        <w:t xml:space="preserve"> –.</w:t>
      </w:r>
    </w:p>
    <w:p w14:paraId="4794A368" w14:textId="77777777" w:rsidR="004C2F01" w:rsidRPr="005C2002" w:rsidRDefault="004C2F01" w:rsidP="00CF17F4">
      <w:pPr>
        <w:ind w:left="426" w:hanging="426"/>
        <w:jc w:val="both"/>
        <w:rPr>
          <w:rFonts w:ascii="Arial" w:hAnsi="Arial" w:cs="Arial"/>
          <w:sz w:val="18"/>
          <w:szCs w:val="18"/>
          <w:lang w:val="ro-RO"/>
        </w:rPr>
      </w:pPr>
    </w:p>
    <w:p w14:paraId="2C4DB53C" w14:textId="31E4FC82" w:rsidR="00CF17F4" w:rsidRPr="005C2002" w:rsidRDefault="00F73DB0" w:rsidP="00206034">
      <w:pPr>
        <w:numPr>
          <w:ilvl w:val="0"/>
          <w:numId w:val="1"/>
        </w:numPr>
        <w:tabs>
          <w:tab w:val="clear" w:pos="360"/>
        </w:tabs>
        <w:ind w:left="426" w:hanging="426"/>
        <w:jc w:val="both"/>
        <w:rPr>
          <w:rFonts w:ascii="Arial" w:hAnsi="Arial" w:cs="Arial"/>
          <w:sz w:val="18"/>
          <w:szCs w:val="18"/>
          <w:lang w:val="ro-RO"/>
        </w:rPr>
      </w:pPr>
      <w:r>
        <w:rPr>
          <w:rFonts w:ascii="Arial" w:hAnsi="Arial" w:cs="Arial"/>
          <w:sz w:val="18"/>
          <w:szCs w:val="18"/>
          <w:lang w:val="ro-RO"/>
        </w:rPr>
        <w:t xml:space="preserve">Atâta vreme cât nu </w:t>
      </w:r>
      <w:r w:rsidR="00DA1EBD">
        <w:rPr>
          <w:rFonts w:ascii="Arial" w:hAnsi="Arial" w:cs="Arial"/>
          <w:sz w:val="18"/>
          <w:szCs w:val="18"/>
          <w:lang w:val="ro-RO"/>
        </w:rPr>
        <w:t>se convine altfel</w:t>
      </w:r>
      <w:r>
        <w:rPr>
          <w:rFonts w:ascii="Arial" w:hAnsi="Arial" w:cs="Arial"/>
          <w:sz w:val="18"/>
          <w:szCs w:val="18"/>
          <w:lang w:val="ro-RO"/>
        </w:rPr>
        <w:t xml:space="preserve"> în scris, acest contract-cadru de furnizare </w:t>
      </w:r>
      <w:r w:rsidRPr="005C2002">
        <w:rPr>
          <w:rFonts w:ascii="Arial" w:hAnsi="Arial" w:cs="Arial"/>
          <w:sz w:val="18"/>
          <w:szCs w:val="18"/>
          <w:lang w:val="ro-RO"/>
        </w:rPr>
        <w:t>(„</w:t>
      </w:r>
      <w:r>
        <w:rPr>
          <w:rFonts w:ascii="Arial" w:hAnsi="Arial" w:cs="Arial"/>
          <w:b/>
          <w:sz w:val="18"/>
          <w:szCs w:val="18"/>
          <w:lang w:val="ro-RO"/>
        </w:rPr>
        <w:t>Contract</w:t>
      </w:r>
      <w:r w:rsidRPr="005C2002">
        <w:rPr>
          <w:rFonts w:ascii="Arial" w:hAnsi="Arial" w:cs="Arial"/>
          <w:sz w:val="18"/>
          <w:szCs w:val="18"/>
          <w:lang w:val="ro-RO"/>
        </w:rPr>
        <w:t>“)</w:t>
      </w:r>
      <w:r>
        <w:rPr>
          <w:rFonts w:ascii="Arial" w:hAnsi="Arial" w:cs="Arial"/>
          <w:sz w:val="18"/>
          <w:szCs w:val="18"/>
          <w:lang w:val="ro-RO"/>
        </w:rPr>
        <w:t xml:space="preserve"> reglementează condițiile referitoare la producția, achiziția, livrarea, prestarea de servicii și</w:t>
      </w:r>
      <w:r w:rsidR="003B44CE">
        <w:rPr>
          <w:rFonts w:ascii="Arial" w:hAnsi="Arial" w:cs="Arial"/>
          <w:sz w:val="18"/>
          <w:szCs w:val="18"/>
          <w:lang w:val="ro-RO"/>
        </w:rPr>
        <w:t>/</w:t>
      </w:r>
      <w:r>
        <w:rPr>
          <w:rFonts w:ascii="Arial" w:hAnsi="Arial" w:cs="Arial"/>
          <w:sz w:val="18"/>
          <w:szCs w:val="18"/>
          <w:lang w:val="ro-RO"/>
        </w:rPr>
        <w:t>sau cumpărarea de produse de orice fel, în mod special de prototipuri, părți</w:t>
      </w:r>
      <w:r w:rsidR="003B44CE">
        <w:rPr>
          <w:rFonts w:ascii="Arial" w:hAnsi="Arial" w:cs="Arial"/>
          <w:sz w:val="18"/>
          <w:szCs w:val="18"/>
          <w:lang w:val="ro-RO"/>
        </w:rPr>
        <w:t>/</w:t>
      </w:r>
      <w:r w:rsidR="00436831">
        <w:rPr>
          <w:rFonts w:ascii="Arial" w:hAnsi="Arial" w:cs="Arial"/>
          <w:sz w:val="18"/>
          <w:szCs w:val="18"/>
          <w:lang w:val="ro-RO"/>
        </w:rPr>
        <w:t>elemente</w:t>
      </w:r>
      <w:r>
        <w:rPr>
          <w:rFonts w:ascii="Arial" w:hAnsi="Arial" w:cs="Arial"/>
          <w:sz w:val="18"/>
          <w:szCs w:val="18"/>
          <w:lang w:val="ro-RO"/>
        </w:rPr>
        <w:t xml:space="preserve">, piese de schimb, componente, agregate, substanțe, materiale, drepturi, servicii </w:t>
      </w:r>
      <w:r w:rsidR="00393474">
        <w:rPr>
          <w:rFonts w:ascii="Arial" w:hAnsi="Arial" w:cs="Arial"/>
          <w:sz w:val="18"/>
          <w:szCs w:val="18"/>
          <w:lang w:val="ro-RO"/>
        </w:rPr>
        <w:t>și</w:t>
      </w:r>
      <w:r w:rsidR="003B44CE">
        <w:rPr>
          <w:rFonts w:ascii="Arial" w:hAnsi="Arial" w:cs="Arial"/>
          <w:sz w:val="18"/>
          <w:szCs w:val="18"/>
          <w:lang w:val="ro-RO"/>
        </w:rPr>
        <w:t>/</w:t>
      </w:r>
      <w:r w:rsidR="00393474">
        <w:rPr>
          <w:rFonts w:ascii="Arial" w:hAnsi="Arial" w:cs="Arial"/>
          <w:sz w:val="18"/>
          <w:szCs w:val="18"/>
          <w:lang w:val="ro-RO"/>
        </w:rPr>
        <w:t xml:space="preserve">sau sisteme, inclusiv software-urile incluse în acestea sau corelate cu acestea, precum și documentația aferentă și codurile sursă și obiect ale acestor software-uri (denumite împreună </w:t>
      </w:r>
      <w:r w:rsidR="00345239" w:rsidRPr="005C2002">
        <w:rPr>
          <w:rFonts w:ascii="Arial" w:hAnsi="Arial" w:cs="Arial"/>
          <w:sz w:val="18"/>
          <w:szCs w:val="18"/>
          <w:lang w:val="ro-RO"/>
        </w:rPr>
        <w:t>„</w:t>
      </w:r>
      <w:r w:rsidR="00393474" w:rsidRPr="00345239">
        <w:rPr>
          <w:rFonts w:ascii="Arial" w:hAnsi="Arial" w:cs="Arial"/>
          <w:b/>
          <w:sz w:val="18"/>
          <w:szCs w:val="18"/>
          <w:lang w:val="ro-RO"/>
        </w:rPr>
        <w:t>obiecte livrabile</w:t>
      </w:r>
      <w:r w:rsidR="003B44CE">
        <w:rPr>
          <w:rFonts w:ascii="Arial" w:hAnsi="Arial" w:cs="Arial"/>
          <w:b/>
          <w:sz w:val="18"/>
          <w:szCs w:val="18"/>
          <w:lang w:val="ro-RO"/>
        </w:rPr>
        <w:t>/</w:t>
      </w:r>
      <w:r w:rsidR="00393474" w:rsidRPr="00345239">
        <w:rPr>
          <w:rFonts w:ascii="Arial" w:hAnsi="Arial" w:cs="Arial"/>
          <w:b/>
          <w:sz w:val="18"/>
          <w:szCs w:val="18"/>
          <w:lang w:val="ro-RO"/>
        </w:rPr>
        <w:t>furnituri</w:t>
      </w:r>
      <w:r w:rsidR="00345239" w:rsidRPr="005C2002">
        <w:rPr>
          <w:rFonts w:ascii="Arial" w:hAnsi="Arial" w:cs="Arial"/>
          <w:sz w:val="18"/>
          <w:szCs w:val="18"/>
          <w:lang w:val="ro-RO"/>
        </w:rPr>
        <w:t>“</w:t>
      </w:r>
      <w:r w:rsidR="00393474">
        <w:rPr>
          <w:rFonts w:ascii="Arial" w:hAnsi="Arial" w:cs="Arial"/>
          <w:sz w:val="18"/>
          <w:szCs w:val="18"/>
          <w:lang w:val="ro-RO"/>
        </w:rPr>
        <w:t>)</w:t>
      </w:r>
      <w:r w:rsidR="00345239">
        <w:rPr>
          <w:rFonts w:ascii="Arial" w:hAnsi="Arial" w:cs="Arial"/>
          <w:sz w:val="18"/>
          <w:szCs w:val="18"/>
          <w:lang w:val="ro-RO"/>
        </w:rPr>
        <w:t xml:space="preserve">, </w:t>
      </w:r>
      <w:r w:rsidR="00393474">
        <w:rPr>
          <w:rFonts w:ascii="Arial" w:hAnsi="Arial" w:cs="Arial"/>
          <w:sz w:val="18"/>
          <w:szCs w:val="18"/>
          <w:lang w:val="ro-RO"/>
        </w:rPr>
        <w:t xml:space="preserve">care </w:t>
      </w:r>
      <w:r w:rsidR="00345239">
        <w:rPr>
          <w:rFonts w:ascii="Arial" w:hAnsi="Arial" w:cs="Arial"/>
          <w:sz w:val="18"/>
          <w:szCs w:val="18"/>
          <w:lang w:val="ro-RO"/>
        </w:rPr>
        <w:t xml:space="preserve">sunt achiziționate de către Webasto de la furnizor </w:t>
      </w:r>
      <w:r w:rsidR="00345239" w:rsidRPr="005C2002">
        <w:rPr>
          <w:rFonts w:ascii="Arial" w:hAnsi="Arial" w:cs="Arial"/>
          <w:sz w:val="18"/>
          <w:szCs w:val="18"/>
          <w:lang w:val="ro-RO"/>
        </w:rPr>
        <w:t>(„</w:t>
      </w:r>
      <w:r w:rsidR="00345239">
        <w:rPr>
          <w:rFonts w:ascii="Arial" w:hAnsi="Arial" w:cs="Arial"/>
          <w:b/>
          <w:sz w:val="18"/>
          <w:szCs w:val="18"/>
          <w:lang w:val="ro-RO"/>
        </w:rPr>
        <w:t>furnizor</w:t>
      </w:r>
      <w:r w:rsidR="00345239" w:rsidRPr="005C2002">
        <w:rPr>
          <w:rFonts w:ascii="Arial" w:hAnsi="Arial" w:cs="Arial"/>
          <w:sz w:val="18"/>
          <w:szCs w:val="18"/>
          <w:lang w:val="ro-RO"/>
        </w:rPr>
        <w:t>)</w:t>
      </w:r>
      <w:r w:rsidR="00345239">
        <w:rPr>
          <w:rFonts w:ascii="Arial" w:hAnsi="Arial" w:cs="Arial"/>
          <w:sz w:val="18"/>
          <w:szCs w:val="18"/>
          <w:lang w:val="ro-RO"/>
        </w:rPr>
        <w:t xml:space="preserve">, în scopul fabricării de produse pentru </w:t>
      </w:r>
      <w:r w:rsidR="00CF17F4" w:rsidRPr="005C2002">
        <w:rPr>
          <w:rFonts w:ascii="Arial" w:hAnsi="Arial" w:cs="Arial"/>
          <w:sz w:val="18"/>
          <w:szCs w:val="18"/>
          <w:lang w:val="ro-RO"/>
        </w:rPr>
        <w:t xml:space="preserve">Webasto </w:t>
      </w:r>
      <w:r w:rsidR="00345239">
        <w:rPr>
          <w:rFonts w:ascii="Arial" w:hAnsi="Arial" w:cs="Arial"/>
          <w:sz w:val="18"/>
          <w:szCs w:val="18"/>
          <w:lang w:val="ro-RO"/>
        </w:rPr>
        <w:t>și</w:t>
      </w:r>
      <w:r w:rsidR="003B44CE">
        <w:rPr>
          <w:rFonts w:ascii="Arial" w:hAnsi="Arial" w:cs="Arial"/>
          <w:sz w:val="18"/>
          <w:szCs w:val="18"/>
          <w:lang w:val="ro-RO"/>
        </w:rPr>
        <w:t>/</w:t>
      </w:r>
      <w:r w:rsidR="00345239">
        <w:rPr>
          <w:rFonts w:ascii="Arial" w:hAnsi="Arial" w:cs="Arial"/>
          <w:sz w:val="18"/>
          <w:szCs w:val="18"/>
          <w:lang w:val="ro-RO"/>
        </w:rPr>
        <w:t>sau pentru derularea activității comerciale a Webasto</w:t>
      </w:r>
      <w:r w:rsidR="009A2542" w:rsidRPr="005C2002">
        <w:rPr>
          <w:rFonts w:ascii="Arial" w:hAnsi="Arial" w:cs="Arial"/>
          <w:sz w:val="18"/>
          <w:szCs w:val="18"/>
          <w:lang w:val="ro-RO"/>
        </w:rPr>
        <w:t>.</w:t>
      </w:r>
      <w:r w:rsidR="00C04455" w:rsidRPr="005C2002">
        <w:rPr>
          <w:rFonts w:ascii="Arial" w:hAnsi="Arial" w:cs="Arial"/>
          <w:sz w:val="18"/>
          <w:szCs w:val="18"/>
          <w:lang w:val="ro-RO"/>
        </w:rPr>
        <w:t xml:space="preserve"> </w:t>
      </w:r>
      <w:r w:rsidR="00345239">
        <w:rPr>
          <w:rFonts w:ascii="Arial" w:hAnsi="Arial" w:cs="Arial"/>
          <w:sz w:val="18"/>
          <w:szCs w:val="18"/>
          <w:lang w:val="ro-RO"/>
        </w:rPr>
        <w:t>Părțile</w:t>
      </w:r>
      <w:r w:rsidR="00D73249">
        <w:rPr>
          <w:rFonts w:ascii="Arial" w:hAnsi="Arial" w:cs="Arial"/>
          <w:sz w:val="18"/>
          <w:szCs w:val="18"/>
          <w:lang w:val="ro-RO"/>
        </w:rPr>
        <w:t xml:space="preserve"> stipulează ca comenzile, programele de livrare și recepțiile de obiecte livrabile sau furnituri să se deruleze în mod exclusiv în concordanță cu condițiile acestui contract și că </w:t>
      </w:r>
      <w:r w:rsidR="004821F4">
        <w:rPr>
          <w:rFonts w:ascii="Arial" w:hAnsi="Arial" w:cs="Arial"/>
          <w:sz w:val="18"/>
          <w:szCs w:val="18"/>
          <w:lang w:val="ro-RO"/>
        </w:rPr>
        <w:t>t</w:t>
      </w:r>
      <w:r w:rsidR="00D73249">
        <w:rPr>
          <w:rFonts w:ascii="Arial" w:hAnsi="Arial" w:cs="Arial"/>
          <w:sz w:val="18"/>
          <w:szCs w:val="18"/>
          <w:lang w:val="ro-RO"/>
        </w:rPr>
        <w:t xml:space="preserve">rimiterile către </w:t>
      </w:r>
      <w:r w:rsidR="004821F4">
        <w:rPr>
          <w:rFonts w:ascii="Arial" w:hAnsi="Arial" w:cs="Arial"/>
          <w:sz w:val="18"/>
          <w:szCs w:val="18"/>
          <w:lang w:val="ro-RO"/>
        </w:rPr>
        <w:t xml:space="preserve">alte condiții generale din ofertele sau recepțiile furnizorului nu sunt valabile. </w:t>
      </w:r>
      <w:r w:rsidR="00EF5170" w:rsidRPr="005C2002">
        <w:rPr>
          <w:rFonts w:ascii="Arial" w:hAnsi="Arial" w:cs="Arial"/>
          <w:sz w:val="18"/>
          <w:szCs w:val="18"/>
          <w:lang w:val="ro-RO"/>
        </w:rPr>
        <w:t xml:space="preserve"> </w:t>
      </w:r>
    </w:p>
    <w:p w14:paraId="3C2E7A37" w14:textId="77777777" w:rsidR="00352208" w:rsidRPr="005C2002" w:rsidRDefault="00352208" w:rsidP="00CF17F4">
      <w:pPr>
        <w:ind w:left="426" w:hanging="426"/>
        <w:jc w:val="both"/>
        <w:rPr>
          <w:rFonts w:ascii="Arial" w:hAnsi="Arial" w:cs="Arial"/>
          <w:sz w:val="18"/>
          <w:szCs w:val="18"/>
          <w:lang w:val="ro-RO"/>
        </w:rPr>
      </w:pPr>
    </w:p>
    <w:p w14:paraId="5E136B64" w14:textId="38B7DE4B" w:rsidR="004C2F01" w:rsidRPr="005C2002" w:rsidRDefault="004821F4" w:rsidP="00CF17F4">
      <w:pPr>
        <w:numPr>
          <w:ilvl w:val="0"/>
          <w:numId w:val="1"/>
        </w:numPr>
        <w:tabs>
          <w:tab w:val="clear" w:pos="360"/>
        </w:tabs>
        <w:ind w:left="426" w:hanging="426"/>
        <w:jc w:val="both"/>
        <w:rPr>
          <w:rFonts w:ascii="Arial" w:hAnsi="Arial" w:cs="Arial"/>
          <w:sz w:val="18"/>
          <w:szCs w:val="18"/>
          <w:lang w:val="ro-RO"/>
        </w:rPr>
      </w:pPr>
      <w:r>
        <w:rPr>
          <w:rFonts w:ascii="Arial" w:hAnsi="Arial" w:cs="Arial"/>
          <w:sz w:val="18"/>
          <w:szCs w:val="18"/>
          <w:lang w:val="ro-RO"/>
        </w:rPr>
        <w:t xml:space="preserve">Obiectele livrabile sau furniturile și prețurile acestora sunt definite prin intermediul comenzilor și programelor de livrare individuale, precum și prin intermediul unei </w:t>
      </w:r>
      <w:r>
        <w:rPr>
          <w:rFonts w:ascii="Arial" w:hAnsi="Arial" w:cs="Arial"/>
          <w:b/>
          <w:sz w:val="18"/>
          <w:szCs w:val="18"/>
          <w:lang w:val="ro-RO"/>
        </w:rPr>
        <w:t>anexe</w:t>
      </w:r>
      <w:r w:rsidR="00352208" w:rsidRPr="005C2002">
        <w:rPr>
          <w:rFonts w:ascii="Arial" w:hAnsi="Arial" w:cs="Arial"/>
          <w:b/>
          <w:sz w:val="18"/>
          <w:szCs w:val="18"/>
          <w:lang w:val="ro-RO"/>
        </w:rPr>
        <w:t xml:space="preserve"> </w:t>
      </w:r>
      <w:r>
        <w:rPr>
          <w:rFonts w:ascii="Arial" w:hAnsi="Arial" w:cs="Arial"/>
          <w:sz w:val="18"/>
          <w:szCs w:val="18"/>
          <w:lang w:val="ro-RO"/>
        </w:rPr>
        <w:t>la prezentul contract, sub forma unei liste de părți componente și prețuri</w:t>
      </w:r>
      <w:r w:rsidR="00352208" w:rsidRPr="005C2002">
        <w:rPr>
          <w:rFonts w:ascii="Arial" w:hAnsi="Arial" w:cs="Arial"/>
          <w:sz w:val="18"/>
          <w:szCs w:val="18"/>
          <w:lang w:val="ro-RO"/>
        </w:rPr>
        <w:t xml:space="preserve"> („</w:t>
      </w:r>
      <w:r>
        <w:rPr>
          <w:rFonts w:ascii="Arial" w:hAnsi="Arial" w:cs="Arial"/>
          <w:b/>
          <w:sz w:val="18"/>
          <w:szCs w:val="18"/>
          <w:lang w:val="ro-RO"/>
        </w:rPr>
        <w:t>Listă părți componente și prețuri</w:t>
      </w:r>
      <w:r w:rsidR="00352208" w:rsidRPr="005C2002">
        <w:rPr>
          <w:rFonts w:ascii="Arial" w:hAnsi="Arial" w:cs="Arial"/>
          <w:sz w:val="18"/>
          <w:szCs w:val="18"/>
          <w:lang w:val="ro-RO"/>
        </w:rPr>
        <w:t>“)</w:t>
      </w:r>
      <w:r>
        <w:rPr>
          <w:rFonts w:ascii="Arial" w:hAnsi="Arial" w:cs="Arial"/>
          <w:sz w:val="18"/>
          <w:szCs w:val="18"/>
          <w:lang w:val="ro-RO"/>
        </w:rPr>
        <w:t>. Lista de părți componente și prețuri este actualizată și ajustată în mod continuu</w:t>
      </w:r>
      <w:r w:rsidR="002E2342">
        <w:rPr>
          <w:rFonts w:ascii="Arial" w:hAnsi="Arial" w:cs="Arial"/>
          <w:sz w:val="18"/>
          <w:szCs w:val="18"/>
          <w:lang w:val="ro-RO"/>
        </w:rPr>
        <w:t>,</w:t>
      </w:r>
      <w:r>
        <w:rPr>
          <w:rFonts w:ascii="Arial" w:hAnsi="Arial" w:cs="Arial"/>
          <w:sz w:val="18"/>
          <w:szCs w:val="18"/>
          <w:lang w:val="ro-RO"/>
        </w:rPr>
        <w:t xml:space="preserve"> de comun acord</w:t>
      </w:r>
      <w:r w:rsidR="002E2342">
        <w:rPr>
          <w:rFonts w:ascii="Arial" w:hAnsi="Arial" w:cs="Arial"/>
          <w:sz w:val="18"/>
          <w:szCs w:val="18"/>
          <w:lang w:val="ro-RO"/>
        </w:rPr>
        <w:t>,</w:t>
      </w:r>
      <w:r>
        <w:rPr>
          <w:rFonts w:ascii="Arial" w:hAnsi="Arial" w:cs="Arial"/>
          <w:sz w:val="18"/>
          <w:szCs w:val="18"/>
          <w:lang w:val="ro-RO"/>
        </w:rPr>
        <w:t xml:space="preserve"> de </w:t>
      </w:r>
      <w:r w:rsidR="002E2342">
        <w:rPr>
          <w:rFonts w:ascii="Arial" w:hAnsi="Arial" w:cs="Arial"/>
          <w:sz w:val="18"/>
          <w:szCs w:val="18"/>
          <w:lang w:val="ro-RO"/>
        </w:rPr>
        <w:t xml:space="preserve">către </w:t>
      </w:r>
      <w:r>
        <w:rPr>
          <w:rFonts w:ascii="Arial" w:hAnsi="Arial" w:cs="Arial"/>
          <w:sz w:val="18"/>
          <w:szCs w:val="18"/>
          <w:lang w:val="ro-RO"/>
        </w:rPr>
        <w:t xml:space="preserve">cele două părți. </w:t>
      </w:r>
    </w:p>
    <w:p w14:paraId="2A0BCC3F" w14:textId="77777777" w:rsidR="00352208" w:rsidRPr="005C2002" w:rsidRDefault="00352208" w:rsidP="00CF17F4">
      <w:pPr>
        <w:ind w:left="426" w:hanging="426"/>
        <w:jc w:val="both"/>
        <w:rPr>
          <w:rFonts w:ascii="Arial" w:hAnsi="Arial" w:cs="Arial"/>
          <w:sz w:val="18"/>
          <w:szCs w:val="18"/>
          <w:lang w:val="ro-RO"/>
        </w:rPr>
      </w:pPr>
    </w:p>
    <w:p w14:paraId="21A75C76" w14:textId="7734FE25" w:rsidR="009A2542" w:rsidRPr="005C2002" w:rsidRDefault="004821F4" w:rsidP="00CF17F4">
      <w:pPr>
        <w:numPr>
          <w:ilvl w:val="0"/>
          <w:numId w:val="1"/>
        </w:numPr>
        <w:tabs>
          <w:tab w:val="clear" w:pos="360"/>
        </w:tabs>
        <w:ind w:left="426" w:hanging="426"/>
        <w:jc w:val="both"/>
        <w:rPr>
          <w:rFonts w:ascii="Arial" w:hAnsi="Arial" w:cs="Arial"/>
          <w:sz w:val="18"/>
          <w:szCs w:val="18"/>
          <w:lang w:val="ro-RO"/>
        </w:rPr>
      </w:pPr>
      <w:r>
        <w:rPr>
          <w:rFonts w:ascii="Arial" w:hAnsi="Arial" w:cs="Arial"/>
          <w:sz w:val="18"/>
          <w:szCs w:val="18"/>
          <w:lang w:val="ro-RO"/>
        </w:rPr>
        <w:t xml:space="preserve">Companiile societăților afiliate grupului Webasto SE, în conformitate cu </w:t>
      </w:r>
      <w:r w:rsidR="00A65121" w:rsidRPr="005C2002">
        <w:rPr>
          <w:rFonts w:ascii="Arial" w:hAnsi="Arial" w:cs="Arial"/>
          <w:sz w:val="18"/>
          <w:szCs w:val="18"/>
          <w:lang w:val="ro-RO"/>
        </w:rPr>
        <w:t xml:space="preserve">§§ 15 ff. </w:t>
      </w:r>
      <w:r w:rsidR="002E2342">
        <w:rPr>
          <w:rFonts w:ascii="Arial" w:hAnsi="Arial" w:cs="Arial"/>
          <w:sz w:val="18"/>
          <w:szCs w:val="18"/>
          <w:lang w:val="ro-RO"/>
        </w:rPr>
        <w:t>d</w:t>
      </w:r>
      <w:r>
        <w:rPr>
          <w:rFonts w:ascii="Arial" w:hAnsi="Arial" w:cs="Arial"/>
          <w:sz w:val="18"/>
          <w:szCs w:val="18"/>
          <w:lang w:val="ro-RO"/>
        </w:rPr>
        <w:t>in legea germană a societăților pe acțiuni (den</w:t>
      </w:r>
      <w:r w:rsidR="002E2342">
        <w:rPr>
          <w:rFonts w:ascii="Arial" w:hAnsi="Arial" w:cs="Arial"/>
          <w:sz w:val="18"/>
          <w:szCs w:val="18"/>
          <w:lang w:val="ro-RO"/>
        </w:rPr>
        <w:t>umi</w:t>
      </w:r>
      <w:r>
        <w:rPr>
          <w:rFonts w:ascii="Arial" w:hAnsi="Arial" w:cs="Arial"/>
          <w:sz w:val="18"/>
          <w:szCs w:val="18"/>
          <w:lang w:val="ro-RO"/>
        </w:rPr>
        <w:t xml:space="preserve">te în mod individual sau împreună și </w:t>
      </w:r>
      <w:r w:rsidR="002E2342">
        <w:rPr>
          <w:rFonts w:ascii="Arial" w:hAnsi="Arial" w:cs="Arial"/>
          <w:sz w:val="18"/>
          <w:szCs w:val="18"/>
          <w:lang w:val="ro-RO"/>
        </w:rPr>
        <w:t>prin</w:t>
      </w:r>
      <w:r w:rsidR="00465A6E" w:rsidRPr="005C2002">
        <w:rPr>
          <w:rFonts w:ascii="Arial" w:hAnsi="Arial" w:cs="Arial"/>
          <w:sz w:val="18"/>
          <w:szCs w:val="18"/>
          <w:lang w:val="ro-RO"/>
        </w:rPr>
        <w:t xml:space="preserve"> </w:t>
      </w:r>
      <w:r>
        <w:rPr>
          <w:rFonts w:ascii="Arial" w:hAnsi="Arial" w:cs="Arial"/>
          <w:sz w:val="18"/>
          <w:szCs w:val="18"/>
          <w:lang w:val="ro-RO"/>
        </w:rPr>
        <w:t xml:space="preserve">termenul </w:t>
      </w:r>
      <w:r w:rsidR="00465A6E" w:rsidRPr="005C2002">
        <w:rPr>
          <w:rFonts w:ascii="Arial" w:hAnsi="Arial" w:cs="Arial"/>
          <w:sz w:val="18"/>
          <w:szCs w:val="18"/>
          <w:lang w:val="ro-RO"/>
        </w:rPr>
        <w:t>„</w:t>
      </w:r>
      <w:r w:rsidR="00465A6E" w:rsidRPr="005C2002">
        <w:rPr>
          <w:rFonts w:ascii="Arial" w:hAnsi="Arial" w:cs="Arial"/>
          <w:b/>
          <w:sz w:val="18"/>
          <w:szCs w:val="18"/>
          <w:lang w:val="ro-RO"/>
        </w:rPr>
        <w:t>Webasto</w:t>
      </w:r>
      <w:r>
        <w:rPr>
          <w:rFonts w:ascii="Arial" w:hAnsi="Arial" w:cs="Arial"/>
          <w:sz w:val="18"/>
          <w:szCs w:val="18"/>
          <w:lang w:val="ro-RO"/>
        </w:rPr>
        <w:t>“ sau</w:t>
      </w:r>
      <w:r w:rsidR="00465A6E" w:rsidRPr="005C2002">
        <w:rPr>
          <w:rFonts w:ascii="Arial" w:hAnsi="Arial" w:cs="Arial"/>
          <w:sz w:val="18"/>
          <w:szCs w:val="18"/>
          <w:lang w:val="ro-RO"/>
        </w:rPr>
        <w:t xml:space="preserve"> „</w:t>
      </w:r>
      <w:r w:rsidRPr="00402B64">
        <w:rPr>
          <w:rFonts w:ascii="Arial" w:hAnsi="Arial" w:cs="Arial"/>
          <w:b/>
          <w:sz w:val="18"/>
          <w:szCs w:val="18"/>
          <w:lang w:val="ro-RO"/>
        </w:rPr>
        <w:t xml:space="preserve">Grupul </w:t>
      </w:r>
      <w:r w:rsidR="00465A6E" w:rsidRPr="005C2002">
        <w:rPr>
          <w:rFonts w:ascii="Arial" w:hAnsi="Arial" w:cs="Arial"/>
          <w:b/>
          <w:sz w:val="18"/>
          <w:szCs w:val="18"/>
          <w:lang w:val="ro-RO"/>
        </w:rPr>
        <w:t>Webasto</w:t>
      </w:r>
      <w:r w:rsidR="00465A6E" w:rsidRPr="005C2002">
        <w:rPr>
          <w:rFonts w:ascii="Arial" w:hAnsi="Arial" w:cs="Arial"/>
          <w:sz w:val="18"/>
          <w:szCs w:val="18"/>
          <w:lang w:val="ro-RO"/>
        </w:rPr>
        <w:t>“)</w:t>
      </w:r>
      <w:r w:rsidR="00BE73D3" w:rsidRPr="005C2002">
        <w:rPr>
          <w:rFonts w:ascii="Arial" w:hAnsi="Arial" w:cs="Arial"/>
          <w:sz w:val="18"/>
          <w:szCs w:val="18"/>
          <w:lang w:val="ro-RO"/>
        </w:rPr>
        <w:t xml:space="preserve"> </w:t>
      </w:r>
      <w:r w:rsidR="00BE4502" w:rsidRPr="005C2002">
        <w:rPr>
          <w:rFonts w:ascii="Arial" w:hAnsi="Arial" w:cs="Arial"/>
          <w:sz w:val="18"/>
          <w:szCs w:val="18"/>
          <w:lang w:val="ro-RO"/>
        </w:rPr>
        <w:t>s</w:t>
      </w:r>
      <w:r w:rsidR="00402B64">
        <w:rPr>
          <w:rFonts w:ascii="Arial" w:hAnsi="Arial" w:cs="Arial"/>
          <w:sz w:val="18"/>
          <w:szCs w:val="18"/>
          <w:lang w:val="ro-RO"/>
        </w:rPr>
        <w:t>unt îndreptățite să acționeze</w:t>
      </w:r>
      <w:r w:rsidR="002E2342">
        <w:rPr>
          <w:rFonts w:ascii="Arial" w:hAnsi="Arial" w:cs="Arial"/>
          <w:sz w:val="18"/>
          <w:szCs w:val="18"/>
          <w:lang w:val="ro-RO"/>
        </w:rPr>
        <w:t xml:space="preserve"> și să prelucreze</w:t>
      </w:r>
      <w:r w:rsidR="00402B64">
        <w:rPr>
          <w:rFonts w:ascii="Arial" w:hAnsi="Arial" w:cs="Arial"/>
          <w:sz w:val="18"/>
          <w:szCs w:val="18"/>
          <w:lang w:val="ro-RO"/>
        </w:rPr>
        <w:t xml:space="preserve"> comenzi sau programe de livrare a obiectelor livrabile</w:t>
      </w:r>
      <w:r w:rsidR="003B44CE">
        <w:rPr>
          <w:rFonts w:ascii="Arial" w:hAnsi="Arial" w:cs="Arial"/>
          <w:sz w:val="18"/>
          <w:szCs w:val="18"/>
          <w:lang w:val="ro-RO"/>
        </w:rPr>
        <w:t>/</w:t>
      </w:r>
      <w:r w:rsidR="00402B64">
        <w:rPr>
          <w:rFonts w:ascii="Arial" w:hAnsi="Arial" w:cs="Arial"/>
          <w:sz w:val="18"/>
          <w:szCs w:val="18"/>
          <w:lang w:val="ro-RO"/>
        </w:rPr>
        <w:t>furniturilor</w:t>
      </w:r>
      <w:r w:rsidR="002E2342">
        <w:rPr>
          <w:rFonts w:ascii="Arial" w:hAnsi="Arial" w:cs="Arial"/>
          <w:sz w:val="18"/>
          <w:szCs w:val="18"/>
          <w:lang w:val="ro-RO"/>
        </w:rPr>
        <w:t>,</w:t>
      </w:r>
      <w:r w:rsidR="00402B64">
        <w:rPr>
          <w:rFonts w:ascii="Arial" w:hAnsi="Arial" w:cs="Arial"/>
          <w:sz w:val="18"/>
          <w:szCs w:val="18"/>
          <w:lang w:val="ro-RO"/>
        </w:rPr>
        <w:t xml:space="preserve"> în concordanță cu necesarul propriu, conform prevederilor acestui contract. </w:t>
      </w:r>
      <w:r w:rsidR="003A649F">
        <w:rPr>
          <w:rFonts w:ascii="Arial" w:hAnsi="Arial" w:cs="Arial"/>
          <w:sz w:val="18"/>
          <w:szCs w:val="18"/>
          <w:lang w:val="ro-RO"/>
        </w:rPr>
        <w:t>Contractul de furnizare care decurge din respectiva comandă individuală sau din programul de livrare individual și din lista de părți componente și prețuri</w:t>
      </w:r>
      <w:r w:rsidR="004014F0">
        <w:rPr>
          <w:rFonts w:ascii="Arial" w:hAnsi="Arial" w:cs="Arial"/>
          <w:sz w:val="18"/>
          <w:szCs w:val="18"/>
          <w:lang w:val="ro-RO"/>
        </w:rPr>
        <w:t>,</w:t>
      </w:r>
      <w:r w:rsidR="003A649F">
        <w:rPr>
          <w:rFonts w:ascii="Arial" w:hAnsi="Arial" w:cs="Arial"/>
          <w:sz w:val="18"/>
          <w:szCs w:val="18"/>
          <w:lang w:val="ro-RO"/>
        </w:rPr>
        <w:t xml:space="preserve"> care face </w:t>
      </w:r>
      <w:r w:rsidR="004014F0">
        <w:rPr>
          <w:rFonts w:ascii="Arial" w:hAnsi="Arial" w:cs="Arial"/>
          <w:sz w:val="18"/>
          <w:szCs w:val="18"/>
          <w:lang w:val="ro-RO"/>
        </w:rPr>
        <w:t>trimitere</w:t>
      </w:r>
      <w:r w:rsidR="003A649F">
        <w:rPr>
          <w:rFonts w:ascii="Arial" w:hAnsi="Arial" w:cs="Arial"/>
          <w:sz w:val="18"/>
          <w:szCs w:val="18"/>
          <w:lang w:val="ro-RO"/>
        </w:rPr>
        <w:t xml:space="preserve"> la acestea, ia naștere așadar direct între furnizor și compania individuală a gru</w:t>
      </w:r>
      <w:r w:rsidR="004014F0">
        <w:rPr>
          <w:rFonts w:ascii="Arial" w:hAnsi="Arial" w:cs="Arial"/>
          <w:sz w:val="18"/>
          <w:szCs w:val="18"/>
          <w:lang w:val="ro-RO"/>
        </w:rPr>
        <w:t xml:space="preserve">pului Webasto </w:t>
      </w:r>
      <w:r w:rsidR="00391737" w:rsidRPr="005C2002">
        <w:rPr>
          <w:rFonts w:ascii="Arial" w:hAnsi="Arial" w:cs="Arial"/>
          <w:sz w:val="18"/>
          <w:szCs w:val="18"/>
          <w:lang w:val="ro-RO"/>
        </w:rPr>
        <w:t>(„</w:t>
      </w:r>
      <w:r w:rsidR="004014F0">
        <w:rPr>
          <w:rFonts w:ascii="Arial" w:hAnsi="Arial" w:cs="Arial"/>
          <w:b/>
          <w:sz w:val="18"/>
          <w:szCs w:val="18"/>
          <w:lang w:val="ro-RO"/>
        </w:rPr>
        <w:t>contract de furnizare</w:t>
      </w:r>
      <w:r w:rsidR="00391737" w:rsidRPr="005C2002">
        <w:rPr>
          <w:rFonts w:ascii="Arial" w:hAnsi="Arial" w:cs="Arial"/>
          <w:sz w:val="18"/>
          <w:szCs w:val="18"/>
          <w:lang w:val="ro-RO"/>
        </w:rPr>
        <w:t>“)</w:t>
      </w:r>
      <w:r w:rsidR="009A2542" w:rsidRPr="005C2002">
        <w:rPr>
          <w:rFonts w:ascii="Arial" w:hAnsi="Arial" w:cs="Arial"/>
          <w:sz w:val="18"/>
          <w:szCs w:val="18"/>
          <w:lang w:val="ro-RO"/>
        </w:rPr>
        <w:t>.</w:t>
      </w:r>
      <w:r w:rsidR="00124609" w:rsidRPr="005C2002">
        <w:rPr>
          <w:rFonts w:ascii="Arial" w:hAnsi="Arial" w:cs="Arial"/>
          <w:sz w:val="18"/>
          <w:szCs w:val="18"/>
          <w:lang w:val="ro-RO"/>
        </w:rPr>
        <w:t xml:space="preserve"> Webasto </w:t>
      </w:r>
      <w:r w:rsidR="00AF6653">
        <w:rPr>
          <w:rFonts w:ascii="Arial" w:hAnsi="Arial" w:cs="Arial"/>
          <w:sz w:val="18"/>
          <w:szCs w:val="18"/>
          <w:lang w:val="ro-RO"/>
        </w:rPr>
        <w:t xml:space="preserve">și-a propus scopul ambițios de </w:t>
      </w:r>
      <w:r w:rsidR="004014F0">
        <w:rPr>
          <w:rFonts w:ascii="Arial" w:hAnsi="Arial" w:cs="Arial"/>
          <w:sz w:val="18"/>
          <w:szCs w:val="18"/>
          <w:lang w:val="ro-RO"/>
        </w:rPr>
        <w:t xml:space="preserve">a achiziționa prin furnizor minim </w:t>
      </w:r>
      <w:r w:rsidR="00F132C4" w:rsidRPr="005C2002">
        <w:rPr>
          <w:rFonts w:ascii="Arial" w:hAnsi="Arial" w:cs="Arial"/>
          <w:sz w:val="18"/>
          <w:szCs w:val="18"/>
          <w:lang w:val="ro-RO"/>
        </w:rPr>
        <w:t>80%</w:t>
      </w:r>
      <w:r w:rsidR="00124609" w:rsidRPr="005C2002">
        <w:rPr>
          <w:rFonts w:ascii="Arial" w:hAnsi="Arial" w:cs="Arial"/>
          <w:sz w:val="18"/>
          <w:szCs w:val="18"/>
          <w:lang w:val="ro-RO"/>
        </w:rPr>
        <w:t xml:space="preserve"> d</w:t>
      </w:r>
      <w:r w:rsidR="004014F0">
        <w:rPr>
          <w:rFonts w:ascii="Arial" w:hAnsi="Arial" w:cs="Arial"/>
          <w:sz w:val="18"/>
          <w:szCs w:val="18"/>
          <w:lang w:val="ro-RO"/>
        </w:rPr>
        <w:t>in necesarul de obiecte livrabile</w:t>
      </w:r>
      <w:r w:rsidR="003B44CE">
        <w:rPr>
          <w:rFonts w:ascii="Arial" w:hAnsi="Arial" w:cs="Arial"/>
          <w:sz w:val="18"/>
          <w:szCs w:val="18"/>
          <w:lang w:val="ro-RO"/>
        </w:rPr>
        <w:t>/</w:t>
      </w:r>
      <w:r w:rsidR="004014F0">
        <w:rPr>
          <w:rFonts w:ascii="Arial" w:hAnsi="Arial" w:cs="Arial"/>
          <w:sz w:val="18"/>
          <w:szCs w:val="18"/>
          <w:lang w:val="ro-RO"/>
        </w:rPr>
        <w:t>furnituri. Obligația de recepție este motivată în mod exclusiv prin comenzi</w:t>
      </w:r>
      <w:r w:rsidR="00EB35E2">
        <w:rPr>
          <w:rFonts w:ascii="Arial" w:hAnsi="Arial" w:cs="Arial"/>
          <w:sz w:val="18"/>
          <w:szCs w:val="18"/>
          <w:lang w:val="ro-RO"/>
        </w:rPr>
        <w:t xml:space="preserve">le și </w:t>
      </w:r>
      <w:r w:rsidR="004014F0">
        <w:rPr>
          <w:rFonts w:ascii="Arial" w:hAnsi="Arial" w:cs="Arial"/>
          <w:sz w:val="18"/>
          <w:szCs w:val="18"/>
          <w:lang w:val="ro-RO"/>
        </w:rPr>
        <w:t>programe</w:t>
      </w:r>
      <w:r w:rsidR="00EB35E2">
        <w:rPr>
          <w:rFonts w:ascii="Arial" w:hAnsi="Arial" w:cs="Arial"/>
          <w:sz w:val="18"/>
          <w:szCs w:val="18"/>
          <w:lang w:val="ro-RO"/>
        </w:rPr>
        <w:t>le</w:t>
      </w:r>
      <w:r w:rsidR="004014F0">
        <w:rPr>
          <w:rFonts w:ascii="Arial" w:hAnsi="Arial" w:cs="Arial"/>
          <w:sz w:val="18"/>
          <w:szCs w:val="18"/>
          <w:lang w:val="ro-RO"/>
        </w:rPr>
        <w:t xml:space="preserve"> de livrare</w:t>
      </w:r>
      <w:r w:rsidR="00EB35E2">
        <w:rPr>
          <w:rFonts w:ascii="Arial" w:hAnsi="Arial" w:cs="Arial"/>
          <w:sz w:val="18"/>
          <w:szCs w:val="18"/>
          <w:lang w:val="ro-RO"/>
        </w:rPr>
        <w:t xml:space="preserve"> respective</w:t>
      </w:r>
      <w:r w:rsidR="004014F0">
        <w:rPr>
          <w:rFonts w:ascii="Arial" w:hAnsi="Arial" w:cs="Arial"/>
          <w:sz w:val="18"/>
          <w:szCs w:val="18"/>
          <w:lang w:val="ro-RO"/>
        </w:rPr>
        <w:t xml:space="preserve">.  </w:t>
      </w:r>
    </w:p>
    <w:p w14:paraId="2C92F0F6" w14:textId="77777777" w:rsidR="00352208" w:rsidRPr="005C2002" w:rsidRDefault="00352208" w:rsidP="00CF17F4">
      <w:pPr>
        <w:ind w:left="426" w:hanging="426"/>
        <w:jc w:val="both"/>
        <w:rPr>
          <w:rFonts w:ascii="Arial" w:hAnsi="Arial" w:cs="Arial"/>
          <w:sz w:val="18"/>
          <w:szCs w:val="18"/>
          <w:lang w:val="ro-RO"/>
        </w:rPr>
      </w:pPr>
    </w:p>
    <w:p w14:paraId="1C32DBE5" w14:textId="77777777" w:rsidR="00124609" w:rsidRPr="005C2002" w:rsidRDefault="00EB35E2" w:rsidP="00CF17F4">
      <w:pPr>
        <w:numPr>
          <w:ilvl w:val="0"/>
          <w:numId w:val="1"/>
        </w:numPr>
        <w:tabs>
          <w:tab w:val="clear" w:pos="360"/>
        </w:tabs>
        <w:ind w:left="426" w:hanging="426"/>
        <w:jc w:val="both"/>
        <w:rPr>
          <w:rFonts w:ascii="Arial" w:hAnsi="Arial" w:cs="Arial"/>
          <w:sz w:val="18"/>
          <w:szCs w:val="18"/>
          <w:lang w:val="ro-RO"/>
        </w:rPr>
      </w:pPr>
      <w:r>
        <w:rPr>
          <w:rFonts w:ascii="Arial" w:hAnsi="Arial" w:cs="Arial"/>
          <w:sz w:val="18"/>
          <w:szCs w:val="18"/>
          <w:lang w:val="ro-RO"/>
        </w:rPr>
        <w:t xml:space="preserve">Furnizorul garantează </w:t>
      </w:r>
      <w:r w:rsidR="00A4305E">
        <w:rPr>
          <w:rFonts w:ascii="Arial" w:hAnsi="Arial" w:cs="Arial"/>
          <w:sz w:val="18"/>
          <w:szCs w:val="18"/>
          <w:lang w:val="ro-RO"/>
        </w:rPr>
        <w:t>că va avea la dispoziție</w:t>
      </w:r>
      <w:r>
        <w:rPr>
          <w:rFonts w:ascii="Arial" w:hAnsi="Arial" w:cs="Arial"/>
          <w:sz w:val="18"/>
          <w:szCs w:val="18"/>
          <w:lang w:val="ro-RO"/>
        </w:rPr>
        <w:t xml:space="preserve"> suficiente capacități</w:t>
      </w:r>
      <w:r w:rsidR="00A4305E">
        <w:rPr>
          <w:rFonts w:ascii="Arial" w:hAnsi="Arial" w:cs="Arial"/>
          <w:sz w:val="18"/>
          <w:szCs w:val="18"/>
          <w:lang w:val="ro-RO"/>
        </w:rPr>
        <w:t>,</w:t>
      </w:r>
      <w:r>
        <w:rPr>
          <w:rFonts w:ascii="Arial" w:hAnsi="Arial" w:cs="Arial"/>
          <w:sz w:val="18"/>
          <w:szCs w:val="18"/>
          <w:lang w:val="ro-RO"/>
        </w:rPr>
        <w:t xml:space="preserve"> pentru a </w:t>
      </w:r>
      <w:r w:rsidR="00A4305E">
        <w:rPr>
          <w:rFonts w:ascii="Arial" w:hAnsi="Arial" w:cs="Arial"/>
          <w:sz w:val="18"/>
          <w:szCs w:val="18"/>
          <w:lang w:val="ro-RO"/>
        </w:rPr>
        <w:t>realiza cantitățile planificate în documentația solicitării, plus o c</w:t>
      </w:r>
      <w:r w:rsidR="002E2342">
        <w:rPr>
          <w:rFonts w:ascii="Arial" w:hAnsi="Arial" w:cs="Arial"/>
          <w:sz w:val="18"/>
          <w:szCs w:val="18"/>
          <w:lang w:val="ro-RO"/>
        </w:rPr>
        <w:t>a</w:t>
      </w:r>
      <w:r w:rsidR="00A4305E">
        <w:rPr>
          <w:rFonts w:ascii="Arial" w:hAnsi="Arial" w:cs="Arial"/>
          <w:sz w:val="18"/>
          <w:szCs w:val="18"/>
          <w:lang w:val="ro-RO"/>
        </w:rPr>
        <w:t>pacitate de rezervă de 20</w:t>
      </w:r>
      <w:r w:rsidR="00A4305E" w:rsidRPr="005C2002">
        <w:rPr>
          <w:rFonts w:ascii="Arial" w:hAnsi="Arial" w:cs="Arial"/>
          <w:sz w:val="18"/>
          <w:szCs w:val="18"/>
          <w:lang w:val="ro-RO"/>
        </w:rPr>
        <w:t xml:space="preserve">% </w:t>
      </w:r>
      <w:r w:rsidR="00A4305E">
        <w:rPr>
          <w:rFonts w:ascii="Arial" w:hAnsi="Arial" w:cs="Arial"/>
          <w:sz w:val="18"/>
          <w:szCs w:val="18"/>
          <w:lang w:val="ro-RO"/>
        </w:rPr>
        <w:t xml:space="preserve">pentru a putea deservi comenzile, respectiv pentru a putea respecta programele de livrare din cadrul cantităților planificate și a capacității de rezervă.  </w:t>
      </w:r>
    </w:p>
    <w:p w14:paraId="662AA174" w14:textId="77777777" w:rsidR="00352208" w:rsidRPr="005C2002" w:rsidRDefault="00352208" w:rsidP="00CF17F4">
      <w:pPr>
        <w:ind w:left="426" w:hanging="426"/>
        <w:jc w:val="both"/>
        <w:rPr>
          <w:rFonts w:ascii="Arial" w:hAnsi="Arial" w:cs="Arial"/>
          <w:sz w:val="18"/>
          <w:szCs w:val="18"/>
          <w:lang w:val="ro-RO"/>
        </w:rPr>
      </w:pPr>
    </w:p>
    <w:p w14:paraId="0C80C100" w14:textId="6B5ABC0C" w:rsidR="00124609" w:rsidRPr="005C2002" w:rsidRDefault="00A4305E" w:rsidP="00CF17F4">
      <w:pPr>
        <w:numPr>
          <w:ilvl w:val="0"/>
          <w:numId w:val="1"/>
        </w:numPr>
        <w:tabs>
          <w:tab w:val="clear" w:pos="360"/>
        </w:tabs>
        <w:ind w:left="426" w:hanging="426"/>
        <w:jc w:val="both"/>
        <w:rPr>
          <w:rFonts w:ascii="Arial" w:hAnsi="Arial" w:cs="Arial"/>
          <w:sz w:val="18"/>
          <w:szCs w:val="18"/>
          <w:lang w:val="ro-RO"/>
        </w:rPr>
      </w:pPr>
      <w:r>
        <w:rPr>
          <w:rFonts w:ascii="Arial" w:hAnsi="Arial" w:cs="Arial"/>
          <w:sz w:val="18"/>
          <w:szCs w:val="18"/>
          <w:lang w:val="ro-RO"/>
        </w:rPr>
        <w:t>Prețurile sunt valabile pe perioada de valabilitate stabilită în lista de piese componente și prețuri. Prețurile care nu au o perioadă de valabilitate</w:t>
      </w:r>
      <w:r w:rsidR="002E2342">
        <w:rPr>
          <w:rFonts w:ascii="Arial" w:hAnsi="Arial" w:cs="Arial"/>
          <w:sz w:val="18"/>
          <w:szCs w:val="18"/>
          <w:lang w:val="ro-RO"/>
        </w:rPr>
        <w:t xml:space="preserve"> explicită,</w:t>
      </w:r>
      <w:r>
        <w:rPr>
          <w:rFonts w:ascii="Arial" w:hAnsi="Arial" w:cs="Arial"/>
          <w:sz w:val="18"/>
          <w:szCs w:val="18"/>
          <w:lang w:val="ro-RO"/>
        </w:rPr>
        <w:t xml:space="preserve"> sunt valabile pe toată durata de derulare a prezentului contract. </w:t>
      </w:r>
      <w:r w:rsidR="006F5263" w:rsidRPr="005C2002">
        <w:rPr>
          <w:rFonts w:ascii="Arial" w:hAnsi="Arial" w:cs="Arial"/>
          <w:sz w:val="18"/>
          <w:szCs w:val="18"/>
          <w:lang w:val="ro-RO"/>
        </w:rPr>
        <w:t xml:space="preserve">Webasto </w:t>
      </w:r>
      <w:r>
        <w:rPr>
          <w:rFonts w:ascii="Arial" w:hAnsi="Arial" w:cs="Arial"/>
          <w:sz w:val="18"/>
          <w:szCs w:val="18"/>
          <w:lang w:val="ro-RO"/>
        </w:rPr>
        <w:t>și furnizorul se străduiesc să stabilească prețuri noi în timp util</w:t>
      </w:r>
      <w:r w:rsidR="003B44CE">
        <w:rPr>
          <w:rFonts w:ascii="Arial" w:hAnsi="Arial" w:cs="Arial"/>
          <w:sz w:val="18"/>
          <w:szCs w:val="18"/>
          <w:lang w:val="ro-RO"/>
        </w:rPr>
        <w:t>/</w:t>
      </w:r>
      <w:r>
        <w:rPr>
          <w:rFonts w:ascii="Arial" w:hAnsi="Arial" w:cs="Arial"/>
          <w:sz w:val="18"/>
          <w:szCs w:val="18"/>
          <w:lang w:val="ro-RO"/>
        </w:rPr>
        <w:t xml:space="preserve">din vreme, înainte de expirarea perioadei de valabilitate. Dacă nu se ajunge la un consens referitor la un anumit preț, înainte de expirarea perioadei de valabilitate, se prelungește valabilitatea condițiilor existente la momentul respectiv pentru o perioadă de un </w:t>
      </w:r>
      <w:r w:rsidRPr="005C2002">
        <w:rPr>
          <w:rFonts w:ascii="Arial" w:hAnsi="Arial" w:cs="Arial"/>
          <w:sz w:val="18"/>
          <w:szCs w:val="18"/>
          <w:lang w:val="ro-RO"/>
        </w:rPr>
        <w:t xml:space="preserve">(1) </w:t>
      </w:r>
      <w:r>
        <w:rPr>
          <w:rFonts w:ascii="Arial" w:hAnsi="Arial" w:cs="Arial"/>
          <w:sz w:val="18"/>
          <w:szCs w:val="18"/>
          <w:lang w:val="ro-RO"/>
        </w:rPr>
        <w:t xml:space="preserve">an. </w:t>
      </w:r>
    </w:p>
    <w:p w14:paraId="4278D905" w14:textId="77777777" w:rsidR="00352208" w:rsidRPr="005C2002" w:rsidRDefault="00352208" w:rsidP="00CF17F4">
      <w:pPr>
        <w:ind w:left="426" w:hanging="426"/>
        <w:jc w:val="both"/>
        <w:rPr>
          <w:rFonts w:ascii="Arial" w:hAnsi="Arial" w:cs="Arial"/>
          <w:sz w:val="18"/>
          <w:szCs w:val="18"/>
          <w:lang w:val="ro-RO"/>
        </w:rPr>
      </w:pPr>
    </w:p>
    <w:p w14:paraId="312A5B40" w14:textId="77777777" w:rsidR="00C04455" w:rsidRPr="005C2002" w:rsidRDefault="00A4305E" w:rsidP="00CF17F4">
      <w:pPr>
        <w:numPr>
          <w:ilvl w:val="0"/>
          <w:numId w:val="1"/>
        </w:numPr>
        <w:tabs>
          <w:tab w:val="clear" w:pos="360"/>
        </w:tabs>
        <w:ind w:left="426" w:hanging="426"/>
        <w:jc w:val="both"/>
        <w:rPr>
          <w:rFonts w:ascii="Arial" w:hAnsi="Arial" w:cs="Arial"/>
          <w:sz w:val="18"/>
          <w:szCs w:val="18"/>
          <w:lang w:val="ro-RO"/>
        </w:rPr>
      </w:pPr>
      <w:r>
        <w:rPr>
          <w:rFonts w:ascii="Arial" w:hAnsi="Arial" w:cs="Arial"/>
          <w:sz w:val="18"/>
          <w:szCs w:val="18"/>
          <w:lang w:val="ro-RO"/>
        </w:rPr>
        <w:t xml:space="preserve">Prezentul contract intră în vigoare cu efect imediat la începutul lui </w:t>
      </w:r>
      <w:r w:rsidR="00CD35A8" w:rsidRPr="005C2002">
        <w:rPr>
          <w:rFonts w:ascii="Arial" w:hAnsi="Arial" w:cs="Arial"/>
          <w:sz w:val="18"/>
          <w:szCs w:val="18"/>
          <w:highlight w:val="yellow"/>
          <w:lang w:val="ro-RO"/>
        </w:rPr>
        <w:t>xx.xx.200x</w:t>
      </w:r>
      <w:r w:rsidR="00CD35A8" w:rsidRPr="005C2002">
        <w:rPr>
          <w:rFonts w:ascii="Arial" w:hAnsi="Arial" w:cs="Arial"/>
          <w:sz w:val="18"/>
          <w:szCs w:val="18"/>
          <w:lang w:val="ro-RO"/>
        </w:rPr>
        <w:t xml:space="preserve"> </w:t>
      </w:r>
      <w:r w:rsidR="008E6380">
        <w:rPr>
          <w:rFonts w:ascii="Arial" w:hAnsi="Arial" w:cs="Arial"/>
          <w:sz w:val="18"/>
          <w:szCs w:val="18"/>
          <w:lang w:val="ro-RO"/>
        </w:rPr>
        <w:t>și are o durată fixă de derulare de cinci (5) ani. Durata fixă de derulare a acestui contract se prelungește în mod automat pentru încă doi (2) ani</w:t>
      </w:r>
      <w:r w:rsidR="002E2342">
        <w:rPr>
          <w:rFonts w:ascii="Arial" w:hAnsi="Arial" w:cs="Arial"/>
          <w:sz w:val="18"/>
          <w:szCs w:val="18"/>
          <w:lang w:val="ro-RO"/>
        </w:rPr>
        <w:t>, iar</w:t>
      </w:r>
      <w:r w:rsidR="008E6380">
        <w:rPr>
          <w:rFonts w:ascii="Arial" w:hAnsi="Arial" w:cs="Arial"/>
          <w:sz w:val="18"/>
          <w:szCs w:val="18"/>
          <w:lang w:val="ro-RO"/>
        </w:rPr>
        <w:t xml:space="preserve"> ace</w:t>
      </w:r>
      <w:r w:rsidR="002E2342">
        <w:rPr>
          <w:rFonts w:ascii="Arial" w:hAnsi="Arial" w:cs="Arial"/>
          <w:sz w:val="18"/>
          <w:szCs w:val="18"/>
          <w:lang w:val="ro-RO"/>
        </w:rPr>
        <w:t>a</w:t>
      </w:r>
      <w:r w:rsidR="008E6380">
        <w:rPr>
          <w:rFonts w:ascii="Arial" w:hAnsi="Arial" w:cs="Arial"/>
          <w:sz w:val="18"/>
          <w:szCs w:val="18"/>
          <w:lang w:val="ro-RO"/>
        </w:rPr>
        <w:t>stă perioadă de prelungire se prelungește la rândul ei</w:t>
      </w:r>
      <w:r w:rsidR="002E2342">
        <w:rPr>
          <w:rFonts w:ascii="Arial" w:hAnsi="Arial" w:cs="Arial"/>
          <w:sz w:val="18"/>
          <w:szCs w:val="18"/>
          <w:lang w:val="ro-RO"/>
        </w:rPr>
        <w:t>,</w:t>
      </w:r>
      <w:r w:rsidR="008E6380">
        <w:rPr>
          <w:rFonts w:ascii="Arial" w:hAnsi="Arial" w:cs="Arial"/>
          <w:sz w:val="18"/>
          <w:szCs w:val="18"/>
          <w:lang w:val="ro-RO"/>
        </w:rPr>
        <w:t xml:space="preserve"> de asemenea în mod automat</w:t>
      </w:r>
      <w:r w:rsidR="002E2342">
        <w:rPr>
          <w:rFonts w:ascii="Arial" w:hAnsi="Arial" w:cs="Arial"/>
          <w:sz w:val="18"/>
          <w:szCs w:val="18"/>
          <w:lang w:val="ro-RO"/>
        </w:rPr>
        <w:t>,</w:t>
      </w:r>
      <w:r w:rsidR="008E6380">
        <w:rPr>
          <w:rFonts w:ascii="Arial" w:hAnsi="Arial" w:cs="Arial"/>
          <w:sz w:val="18"/>
          <w:szCs w:val="18"/>
          <w:lang w:val="ro-RO"/>
        </w:rPr>
        <w:t xml:space="preserve"> pentru încă doi (2) ani, dacă una dintre cele două părți nu declară în scris cu douăsprezece (12) luni înainte de expirarea respectivei durate de derulare că nu mai dorește să continue contractul de față. Durata de derulare a contractelor de furnizare individuale nu este atinsă sau afectată de aceste aspecte.  </w:t>
      </w:r>
    </w:p>
    <w:p w14:paraId="40FB7633" w14:textId="77777777" w:rsidR="00A65121" w:rsidRPr="005C2002" w:rsidRDefault="00A65121" w:rsidP="00206034">
      <w:pPr>
        <w:jc w:val="both"/>
        <w:rPr>
          <w:rFonts w:ascii="Arial" w:hAnsi="Arial" w:cs="Arial"/>
          <w:sz w:val="18"/>
          <w:szCs w:val="18"/>
          <w:lang w:val="ro-RO"/>
        </w:rPr>
      </w:pPr>
    </w:p>
    <w:p w14:paraId="09F2551A" w14:textId="1358A5F5" w:rsidR="00E021AC" w:rsidRPr="005C2002" w:rsidRDefault="008E6380" w:rsidP="00CF17F4">
      <w:pPr>
        <w:numPr>
          <w:ilvl w:val="0"/>
          <w:numId w:val="1"/>
        </w:numPr>
        <w:tabs>
          <w:tab w:val="clear" w:pos="360"/>
        </w:tabs>
        <w:ind w:left="426" w:hanging="426"/>
        <w:jc w:val="both"/>
        <w:rPr>
          <w:rFonts w:ascii="Arial" w:hAnsi="Arial" w:cs="Arial"/>
          <w:sz w:val="18"/>
          <w:szCs w:val="18"/>
          <w:lang w:val="ro-RO"/>
        </w:rPr>
      </w:pPr>
      <w:r>
        <w:rPr>
          <w:rFonts w:ascii="Arial" w:hAnsi="Arial" w:cs="Arial"/>
          <w:sz w:val="18"/>
          <w:szCs w:val="18"/>
          <w:lang w:val="ro-RO"/>
        </w:rPr>
        <w:t xml:space="preserve">Părțile sunt de acord </w:t>
      </w:r>
      <w:r w:rsidR="00C0220D">
        <w:rPr>
          <w:rFonts w:ascii="Arial" w:hAnsi="Arial" w:cs="Arial"/>
          <w:sz w:val="18"/>
          <w:szCs w:val="18"/>
          <w:lang w:val="ro-RO"/>
        </w:rPr>
        <w:t>că menținerea capacității co</w:t>
      </w:r>
      <w:r w:rsidR="001C5BD6">
        <w:rPr>
          <w:rFonts w:ascii="Arial" w:hAnsi="Arial" w:cs="Arial"/>
          <w:sz w:val="18"/>
          <w:szCs w:val="18"/>
          <w:lang w:val="ro-RO"/>
        </w:rPr>
        <w:t>ncurențiale</w:t>
      </w:r>
      <w:r w:rsidR="00C0220D">
        <w:rPr>
          <w:rFonts w:ascii="Arial" w:hAnsi="Arial" w:cs="Arial"/>
          <w:sz w:val="18"/>
          <w:szCs w:val="18"/>
          <w:lang w:val="ro-RO"/>
        </w:rPr>
        <w:t xml:space="preserve"> a mărfurilor este de o importanță esențială pentru relația de furnizare. </w:t>
      </w:r>
      <w:r w:rsidR="00CD35A8" w:rsidRPr="005C2002">
        <w:rPr>
          <w:rFonts w:ascii="Arial" w:hAnsi="Arial" w:cs="Arial"/>
          <w:sz w:val="18"/>
          <w:szCs w:val="18"/>
          <w:lang w:val="ro-RO"/>
        </w:rPr>
        <w:t>„</w:t>
      </w:r>
      <w:r w:rsidR="001C5BD6">
        <w:rPr>
          <w:rFonts w:ascii="Arial" w:hAnsi="Arial" w:cs="Arial"/>
          <w:sz w:val="18"/>
          <w:szCs w:val="18"/>
          <w:lang w:val="ro-RO"/>
        </w:rPr>
        <w:t>Capacitatea concurențială a mărfurilor</w:t>
      </w:r>
      <w:r w:rsidR="00CD35A8" w:rsidRPr="005C2002">
        <w:rPr>
          <w:rFonts w:ascii="Arial" w:hAnsi="Arial" w:cs="Arial"/>
          <w:sz w:val="18"/>
          <w:szCs w:val="18"/>
          <w:lang w:val="ro-RO"/>
        </w:rPr>
        <w:t xml:space="preserve">“ </w:t>
      </w:r>
      <w:r w:rsidR="001C5BD6">
        <w:rPr>
          <w:rFonts w:ascii="Arial" w:hAnsi="Arial" w:cs="Arial"/>
          <w:sz w:val="18"/>
          <w:szCs w:val="18"/>
          <w:lang w:val="ro-RO"/>
        </w:rPr>
        <w:t>presupune că obiectele livrabile</w:t>
      </w:r>
      <w:r w:rsidR="003B44CE">
        <w:rPr>
          <w:rFonts w:ascii="Arial" w:hAnsi="Arial" w:cs="Arial"/>
          <w:sz w:val="18"/>
          <w:szCs w:val="18"/>
          <w:lang w:val="ro-RO"/>
        </w:rPr>
        <w:t>/</w:t>
      </w:r>
      <w:r w:rsidR="001C5BD6">
        <w:rPr>
          <w:rFonts w:ascii="Arial" w:hAnsi="Arial" w:cs="Arial"/>
          <w:sz w:val="18"/>
          <w:szCs w:val="18"/>
          <w:lang w:val="ro-RO"/>
        </w:rPr>
        <w:t xml:space="preserve">furniturile corespund din punct de vedere al prețurilor, al calității și capacității inovatoare </w:t>
      </w:r>
      <w:r w:rsidR="002E2342">
        <w:rPr>
          <w:rFonts w:ascii="Arial" w:hAnsi="Arial" w:cs="Arial"/>
          <w:sz w:val="18"/>
          <w:szCs w:val="18"/>
          <w:lang w:val="ro-RO"/>
        </w:rPr>
        <w:t xml:space="preserve">a </w:t>
      </w:r>
      <w:r w:rsidR="001C5BD6">
        <w:rPr>
          <w:rFonts w:ascii="Arial" w:hAnsi="Arial" w:cs="Arial"/>
          <w:sz w:val="18"/>
          <w:szCs w:val="18"/>
          <w:lang w:val="ro-RO"/>
        </w:rPr>
        <w:t>produselor, mărfurilor și</w:t>
      </w:r>
      <w:r w:rsidR="003B44CE">
        <w:rPr>
          <w:rFonts w:ascii="Arial" w:hAnsi="Arial" w:cs="Arial"/>
          <w:sz w:val="18"/>
          <w:szCs w:val="18"/>
          <w:lang w:val="ro-RO"/>
        </w:rPr>
        <w:t>/</w:t>
      </w:r>
      <w:r w:rsidR="001C5BD6">
        <w:rPr>
          <w:rFonts w:ascii="Arial" w:hAnsi="Arial" w:cs="Arial"/>
          <w:sz w:val="18"/>
          <w:szCs w:val="18"/>
          <w:lang w:val="ro-RO"/>
        </w:rPr>
        <w:t>sau serviciilor similare ale concurenților de piață. Dacă companiei Webasto i se oferă produse, mărfuri și</w:t>
      </w:r>
      <w:r w:rsidR="003B44CE">
        <w:rPr>
          <w:rFonts w:ascii="Arial" w:hAnsi="Arial" w:cs="Arial"/>
          <w:sz w:val="18"/>
          <w:szCs w:val="18"/>
          <w:lang w:val="ro-RO"/>
        </w:rPr>
        <w:t>/</w:t>
      </w:r>
      <w:r w:rsidR="001C5BD6">
        <w:rPr>
          <w:rFonts w:ascii="Arial" w:hAnsi="Arial" w:cs="Arial"/>
          <w:sz w:val="18"/>
          <w:szCs w:val="18"/>
          <w:lang w:val="ro-RO"/>
        </w:rPr>
        <w:t>sau servicii în condiții concurențiale similare, Webasto informează furnizorul în scris despre acest fapt și îi conferă acestuia un termen limită adecvat, pentru a putea reconstitui capacitatea concurențială a obiectelor livrabile</w:t>
      </w:r>
      <w:r w:rsidR="003B44CE">
        <w:rPr>
          <w:rFonts w:ascii="Arial" w:hAnsi="Arial" w:cs="Arial"/>
          <w:sz w:val="18"/>
          <w:szCs w:val="18"/>
          <w:lang w:val="ro-RO"/>
        </w:rPr>
        <w:t>/</w:t>
      </w:r>
      <w:r w:rsidR="001C5BD6">
        <w:rPr>
          <w:rFonts w:ascii="Arial" w:hAnsi="Arial" w:cs="Arial"/>
          <w:sz w:val="18"/>
          <w:szCs w:val="18"/>
          <w:lang w:val="ro-RO"/>
        </w:rPr>
        <w:t xml:space="preserve">a </w:t>
      </w:r>
      <w:r w:rsidR="001C5BD6">
        <w:rPr>
          <w:rFonts w:ascii="Arial" w:hAnsi="Arial" w:cs="Arial"/>
          <w:sz w:val="18"/>
          <w:szCs w:val="18"/>
          <w:lang w:val="ro-RO"/>
        </w:rPr>
        <w:lastRenderedPageBreak/>
        <w:t xml:space="preserve">furniturilor. </w:t>
      </w:r>
      <w:r w:rsidR="00D00130">
        <w:rPr>
          <w:rFonts w:ascii="Arial" w:hAnsi="Arial" w:cs="Arial"/>
          <w:sz w:val="18"/>
          <w:szCs w:val="18"/>
          <w:lang w:val="ro-RO"/>
        </w:rPr>
        <w:t>Furnizorul elaborea</w:t>
      </w:r>
      <w:r w:rsidR="00314D1A">
        <w:rPr>
          <w:rFonts w:ascii="Arial" w:hAnsi="Arial" w:cs="Arial"/>
          <w:sz w:val="18"/>
          <w:szCs w:val="18"/>
          <w:lang w:val="ro-RO"/>
        </w:rPr>
        <w:t>z</w:t>
      </w:r>
      <w:r w:rsidR="00D00130">
        <w:rPr>
          <w:rFonts w:ascii="Arial" w:hAnsi="Arial" w:cs="Arial"/>
          <w:sz w:val="18"/>
          <w:szCs w:val="18"/>
          <w:lang w:val="ro-RO"/>
        </w:rPr>
        <w:t>ă în acest sens neîntârziat un catalog de măsuri în</w:t>
      </w:r>
      <w:r w:rsidR="00314D1A">
        <w:rPr>
          <w:rFonts w:ascii="Arial" w:hAnsi="Arial" w:cs="Arial"/>
          <w:sz w:val="18"/>
          <w:szCs w:val="18"/>
          <w:lang w:val="ro-RO"/>
        </w:rPr>
        <w:t xml:space="preserve"> </w:t>
      </w:r>
      <w:r w:rsidR="00D00130">
        <w:rPr>
          <w:rFonts w:ascii="Arial" w:hAnsi="Arial" w:cs="Arial"/>
          <w:sz w:val="18"/>
          <w:szCs w:val="18"/>
          <w:lang w:val="ro-RO"/>
        </w:rPr>
        <w:t>vederea reconstituirii și reîntregirii capacității concurențiale, pe care îl pune la dispoziție companiei Webasto, împreună cu o</w:t>
      </w:r>
      <w:r w:rsidR="00314D1A">
        <w:rPr>
          <w:rFonts w:ascii="Arial" w:hAnsi="Arial" w:cs="Arial"/>
          <w:sz w:val="18"/>
          <w:szCs w:val="18"/>
          <w:lang w:val="ro-RO"/>
        </w:rPr>
        <w:t xml:space="preserve"> ofertă revizuită și corectată. Dacă W</w:t>
      </w:r>
      <w:r w:rsidR="008C747A" w:rsidRPr="005C2002">
        <w:rPr>
          <w:rFonts w:ascii="Arial" w:hAnsi="Arial" w:cs="Arial"/>
          <w:sz w:val="18"/>
          <w:szCs w:val="18"/>
          <w:lang w:val="ro-RO"/>
        </w:rPr>
        <w:t>ebasto</w:t>
      </w:r>
      <w:r w:rsidR="00314D1A">
        <w:rPr>
          <w:rFonts w:ascii="Arial" w:hAnsi="Arial" w:cs="Arial"/>
          <w:sz w:val="18"/>
          <w:szCs w:val="18"/>
          <w:lang w:val="ro-RO"/>
        </w:rPr>
        <w:t xml:space="preserve"> acceptă oferta de reînt</w:t>
      </w:r>
      <w:r w:rsidR="002E2342">
        <w:rPr>
          <w:rFonts w:ascii="Arial" w:hAnsi="Arial" w:cs="Arial"/>
          <w:sz w:val="18"/>
          <w:szCs w:val="18"/>
          <w:lang w:val="ro-RO"/>
        </w:rPr>
        <w:t>r</w:t>
      </w:r>
      <w:r w:rsidR="00314D1A">
        <w:rPr>
          <w:rFonts w:ascii="Arial" w:hAnsi="Arial" w:cs="Arial"/>
          <w:sz w:val="18"/>
          <w:szCs w:val="18"/>
          <w:lang w:val="ro-RO"/>
        </w:rPr>
        <w:t>egire a capacității concurențiale</w:t>
      </w:r>
      <w:r w:rsidR="002E2342">
        <w:rPr>
          <w:rFonts w:ascii="Arial" w:hAnsi="Arial" w:cs="Arial"/>
          <w:sz w:val="18"/>
          <w:szCs w:val="18"/>
          <w:lang w:val="ro-RO"/>
        </w:rPr>
        <w:t xml:space="preserve"> </w:t>
      </w:r>
      <w:r w:rsidR="00314D1A">
        <w:rPr>
          <w:rFonts w:ascii="Arial" w:hAnsi="Arial" w:cs="Arial"/>
          <w:sz w:val="18"/>
          <w:szCs w:val="18"/>
          <w:lang w:val="ro-RO"/>
        </w:rPr>
        <w:t>în formula corectată, contractul de furnizare de până la momentul respectiv va fi continuat în condițiile modificate și furnizorul trebuie să asigure și să implementeze măsurile convenite privitoare la reconstituirea și reîntregirea capacității concurențiale a furniturilor în termenul adecvat stabilit de Webasto.</w:t>
      </w:r>
      <w:r w:rsidR="008C747A" w:rsidRPr="005C2002">
        <w:rPr>
          <w:rFonts w:ascii="Arial" w:hAnsi="Arial" w:cs="Arial"/>
          <w:sz w:val="18"/>
          <w:szCs w:val="18"/>
          <w:lang w:val="ro-RO"/>
        </w:rPr>
        <w:t xml:space="preserve"> </w:t>
      </w:r>
      <w:r w:rsidR="00314D1A">
        <w:rPr>
          <w:rFonts w:ascii="Arial" w:hAnsi="Arial" w:cs="Arial"/>
          <w:sz w:val="18"/>
          <w:szCs w:val="18"/>
          <w:lang w:val="ro-RO"/>
        </w:rPr>
        <w:t>Obligația de menținere a capacității concurențiale este o oblig</w:t>
      </w:r>
      <w:r w:rsidR="002E2342">
        <w:rPr>
          <w:rFonts w:ascii="Arial" w:hAnsi="Arial" w:cs="Arial"/>
          <w:sz w:val="18"/>
          <w:szCs w:val="18"/>
          <w:lang w:val="ro-RO"/>
        </w:rPr>
        <w:t>a</w:t>
      </w:r>
      <w:r w:rsidR="00314D1A">
        <w:rPr>
          <w:rFonts w:ascii="Arial" w:hAnsi="Arial" w:cs="Arial"/>
          <w:sz w:val="18"/>
          <w:szCs w:val="18"/>
          <w:lang w:val="ro-RO"/>
        </w:rPr>
        <w:t>ție esențială a acestui contract</w:t>
      </w:r>
      <w:r w:rsidR="00F464AB" w:rsidRPr="005C2002">
        <w:rPr>
          <w:rFonts w:ascii="Arial" w:hAnsi="Arial" w:cs="Arial"/>
          <w:sz w:val="18"/>
          <w:szCs w:val="18"/>
          <w:lang w:val="ro-RO"/>
        </w:rPr>
        <w:t xml:space="preserve">. </w:t>
      </w:r>
      <w:r w:rsidR="00314D1A">
        <w:rPr>
          <w:rFonts w:ascii="Arial" w:hAnsi="Arial" w:cs="Arial"/>
          <w:sz w:val="18"/>
          <w:szCs w:val="18"/>
          <w:lang w:val="ro-RO"/>
        </w:rPr>
        <w:t>În caz de violare</w:t>
      </w:r>
      <w:r w:rsidR="003B44CE">
        <w:rPr>
          <w:rFonts w:ascii="Arial" w:hAnsi="Arial" w:cs="Arial"/>
          <w:sz w:val="18"/>
          <w:szCs w:val="18"/>
          <w:lang w:val="ro-RO"/>
        </w:rPr>
        <w:t>/</w:t>
      </w:r>
      <w:r w:rsidR="00314D1A">
        <w:rPr>
          <w:rFonts w:ascii="Arial" w:hAnsi="Arial" w:cs="Arial"/>
          <w:sz w:val="18"/>
          <w:szCs w:val="18"/>
          <w:lang w:val="ro-RO"/>
        </w:rPr>
        <w:t xml:space="preserve">neîndeplinire a contractului, Webasto poate să solicite o ajustare a acestuia sau îl poate rezilia în ansamblul său sau doar părți ale acestuia, pe motive bine întemeiate. </w:t>
      </w:r>
    </w:p>
    <w:p w14:paraId="30B7805E" w14:textId="77777777" w:rsidR="00E021AC" w:rsidRPr="005C2002" w:rsidRDefault="00E021AC" w:rsidP="00CF17F4">
      <w:pPr>
        <w:ind w:left="426" w:hanging="426"/>
        <w:jc w:val="both"/>
        <w:rPr>
          <w:rFonts w:ascii="Arial" w:hAnsi="Arial" w:cs="Arial"/>
          <w:sz w:val="18"/>
          <w:szCs w:val="18"/>
          <w:lang w:val="ro-RO"/>
        </w:rPr>
      </w:pPr>
    </w:p>
    <w:p w14:paraId="0AC4594A" w14:textId="68BB44C7" w:rsidR="00352208" w:rsidRPr="005C2002" w:rsidRDefault="004167A4" w:rsidP="00CF17F4">
      <w:pPr>
        <w:numPr>
          <w:ilvl w:val="0"/>
          <w:numId w:val="1"/>
        </w:numPr>
        <w:tabs>
          <w:tab w:val="clear" w:pos="360"/>
        </w:tabs>
        <w:ind w:left="426" w:hanging="426"/>
        <w:jc w:val="both"/>
        <w:rPr>
          <w:rFonts w:ascii="Arial" w:hAnsi="Arial" w:cs="Arial"/>
          <w:sz w:val="18"/>
          <w:szCs w:val="18"/>
          <w:lang w:val="ro-RO"/>
        </w:rPr>
      </w:pPr>
      <w:r>
        <w:rPr>
          <w:rFonts w:ascii="Arial" w:hAnsi="Arial" w:cs="Arial"/>
          <w:sz w:val="18"/>
          <w:szCs w:val="18"/>
          <w:lang w:val="ro-RO"/>
        </w:rPr>
        <w:t>O parte componentă esențială a acestui contract și a tuturor contractelor de furnizare încheiate în baza acestui contract și</w:t>
      </w:r>
      <w:r w:rsidR="003B44CE">
        <w:rPr>
          <w:rFonts w:ascii="Arial" w:hAnsi="Arial" w:cs="Arial"/>
          <w:sz w:val="18"/>
          <w:szCs w:val="18"/>
          <w:lang w:val="ro-RO"/>
        </w:rPr>
        <w:t>/</w:t>
      </w:r>
      <w:r>
        <w:rPr>
          <w:rFonts w:ascii="Arial" w:hAnsi="Arial" w:cs="Arial"/>
          <w:sz w:val="18"/>
          <w:szCs w:val="18"/>
          <w:lang w:val="ro-RO"/>
        </w:rPr>
        <w:t xml:space="preserve">sau în corelare cu acesta, o reprezintă </w:t>
      </w:r>
      <w:r w:rsidR="00DA1EBD">
        <w:rPr>
          <w:rFonts w:ascii="Arial" w:hAnsi="Arial" w:cs="Arial"/>
          <w:sz w:val="18"/>
          <w:szCs w:val="18"/>
          <w:lang w:val="ro-RO"/>
        </w:rPr>
        <w:t>CGA</w:t>
      </w:r>
      <w:r>
        <w:rPr>
          <w:rFonts w:ascii="Arial" w:hAnsi="Arial" w:cs="Arial"/>
          <w:sz w:val="18"/>
          <w:szCs w:val="18"/>
          <w:lang w:val="ro-RO"/>
        </w:rPr>
        <w:t xml:space="preserve"> referitoare la producția, achiziția, livrarea, prestarea de servicii și</w:t>
      </w:r>
      <w:r w:rsidR="003B44CE">
        <w:rPr>
          <w:rFonts w:ascii="Arial" w:hAnsi="Arial" w:cs="Arial"/>
          <w:sz w:val="18"/>
          <w:szCs w:val="18"/>
          <w:lang w:val="ro-RO"/>
        </w:rPr>
        <w:t>/</w:t>
      </w:r>
      <w:r>
        <w:rPr>
          <w:rFonts w:ascii="Arial" w:hAnsi="Arial" w:cs="Arial"/>
          <w:sz w:val="18"/>
          <w:szCs w:val="18"/>
          <w:lang w:val="ro-RO"/>
        </w:rPr>
        <w:t xml:space="preserve">sau cumpărarea de furnituri </w:t>
      </w:r>
      <w:r w:rsidR="00AE7BCE" w:rsidRPr="005C2002">
        <w:rPr>
          <w:rFonts w:ascii="Arial" w:hAnsi="Arial" w:cs="Arial"/>
          <w:sz w:val="18"/>
          <w:szCs w:val="18"/>
          <w:lang w:val="ro-RO"/>
        </w:rPr>
        <w:t>(„</w:t>
      </w:r>
      <w:r w:rsidR="00DA1EBD">
        <w:rPr>
          <w:rFonts w:ascii="Arial" w:hAnsi="Arial" w:cs="Arial"/>
          <w:b/>
          <w:sz w:val="18"/>
          <w:szCs w:val="18"/>
          <w:lang w:val="ro-RO"/>
        </w:rPr>
        <w:t>CGA Webasto</w:t>
      </w:r>
      <w:r w:rsidR="00AE7BCE" w:rsidRPr="005C2002">
        <w:rPr>
          <w:rFonts w:ascii="Arial" w:hAnsi="Arial" w:cs="Arial"/>
          <w:sz w:val="18"/>
          <w:szCs w:val="18"/>
          <w:lang w:val="ro-RO"/>
        </w:rPr>
        <w:t xml:space="preserve">“), </w:t>
      </w:r>
      <w:r>
        <w:rPr>
          <w:rFonts w:ascii="Arial" w:hAnsi="Arial" w:cs="Arial"/>
          <w:sz w:val="18"/>
          <w:szCs w:val="18"/>
          <w:lang w:val="ro-RO"/>
        </w:rPr>
        <w:t xml:space="preserve">a căror componentă integrală o reprezintă documentul </w:t>
      </w:r>
      <w:r w:rsidR="003B44CE">
        <w:rPr>
          <w:rFonts w:ascii="Arial" w:hAnsi="Arial" w:cs="Arial"/>
          <w:sz w:val="18"/>
          <w:szCs w:val="18"/>
          <w:lang w:val="ro-RO"/>
        </w:rPr>
        <w:t>Condițiile</w:t>
      </w:r>
      <w:r w:rsidR="00DA1EBD">
        <w:rPr>
          <w:rFonts w:ascii="Arial" w:hAnsi="Arial" w:cs="Arial"/>
          <w:sz w:val="18"/>
          <w:szCs w:val="18"/>
          <w:lang w:val="ro-RO"/>
        </w:rPr>
        <w:t xml:space="preserve"> Generale de Afaceri privind Utilajele/Uneltele</w:t>
      </w:r>
      <w:r>
        <w:rPr>
          <w:rFonts w:ascii="Arial" w:hAnsi="Arial" w:cs="Arial"/>
          <w:sz w:val="18"/>
          <w:szCs w:val="18"/>
          <w:lang w:val="ro-RO"/>
        </w:rPr>
        <w:t xml:space="preserve"> </w:t>
      </w:r>
      <w:r w:rsidR="000F0FB9" w:rsidRPr="005C2002">
        <w:rPr>
          <w:rFonts w:ascii="Arial" w:hAnsi="Arial" w:cs="Arial"/>
          <w:sz w:val="18"/>
          <w:szCs w:val="18"/>
          <w:lang w:val="ro-RO"/>
        </w:rPr>
        <w:t>(„</w:t>
      </w:r>
      <w:r w:rsidR="00DA1EBD">
        <w:rPr>
          <w:rFonts w:ascii="Arial" w:hAnsi="Arial" w:cs="Arial"/>
          <w:b/>
          <w:sz w:val="18"/>
          <w:szCs w:val="18"/>
          <w:lang w:val="ro-RO"/>
        </w:rPr>
        <w:t>CGA Webasto Utilaje/Unelte</w:t>
      </w:r>
      <w:r w:rsidR="000F0FB9" w:rsidRPr="005C2002">
        <w:rPr>
          <w:rFonts w:ascii="Arial" w:hAnsi="Arial" w:cs="Arial"/>
          <w:sz w:val="18"/>
          <w:szCs w:val="18"/>
          <w:lang w:val="ro-RO"/>
        </w:rPr>
        <w:t xml:space="preserve">“) </w:t>
      </w:r>
      <w:r>
        <w:rPr>
          <w:rFonts w:ascii="Arial" w:hAnsi="Arial" w:cs="Arial"/>
          <w:sz w:val="18"/>
          <w:szCs w:val="18"/>
          <w:lang w:val="ro-RO"/>
        </w:rPr>
        <w:t xml:space="preserve">și directiva de calitate – actualizată și valabilă – pentru furnizori </w:t>
      </w:r>
      <w:r w:rsidR="00C3612A" w:rsidRPr="005C2002">
        <w:rPr>
          <w:rFonts w:ascii="Arial" w:hAnsi="Arial" w:cs="Arial"/>
          <w:sz w:val="18"/>
          <w:szCs w:val="18"/>
          <w:lang w:val="ro-RO"/>
        </w:rPr>
        <w:t>(„</w:t>
      </w:r>
      <w:r w:rsidR="00CD35A8" w:rsidRPr="005C2002">
        <w:rPr>
          <w:rFonts w:ascii="Arial" w:hAnsi="Arial" w:cs="Arial"/>
          <w:b/>
          <w:sz w:val="18"/>
          <w:szCs w:val="18"/>
          <w:lang w:val="ro-RO"/>
        </w:rPr>
        <w:t>QW1</w:t>
      </w:r>
      <w:r>
        <w:rPr>
          <w:rFonts w:ascii="Arial" w:hAnsi="Arial" w:cs="Arial"/>
          <w:sz w:val="18"/>
          <w:szCs w:val="18"/>
          <w:lang w:val="ro-RO"/>
        </w:rPr>
        <w:t>“)</w:t>
      </w:r>
      <w:r w:rsidR="000F0FB9" w:rsidRPr="005C2002">
        <w:rPr>
          <w:rFonts w:ascii="Arial" w:hAnsi="Arial" w:cs="Arial"/>
          <w:sz w:val="18"/>
          <w:szCs w:val="18"/>
          <w:lang w:val="ro-RO"/>
        </w:rPr>
        <w:t xml:space="preserve">, </w:t>
      </w:r>
      <w:r>
        <w:rPr>
          <w:rFonts w:ascii="Arial" w:hAnsi="Arial" w:cs="Arial"/>
          <w:sz w:val="18"/>
          <w:szCs w:val="18"/>
          <w:lang w:val="ro-RO"/>
        </w:rPr>
        <w:t>și Acordul privitor la asigurarea garanției a grupului Webasto</w:t>
      </w:r>
      <w:r w:rsidR="00365FAC" w:rsidRPr="005C2002">
        <w:rPr>
          <w:rFonts w:ascii="Arial" w:hAnsi="Arial" w:cs="Arial"/>
          <w:sz w:val="18"/>
          <w:szCs w:val="18"/>
          <w:lang w:val="ro-RO"/>
        </w:rPr>
        <w:t xml:space="preserve"> </w:t>
      </w:r>
      <w:r w:rsidR="00CD35A8" w:rsidRPr="005C2002">
        <w:rPr>
          <w:rFonts w:ascii="Arial" w:hAnsi="Arial" w:cs="Arial"/>
          <w:sz w:val="18"/>
          <w:szCs w:val="18"/>
          <w:lang w:val="ro-RO"/>
        </w:rPr>
        <w:t>(</w:t>
      </w:r>
      <w:r>
        <w:rPr>
          <w:rFonts w:ascii="Arial" w:hAnsi="Arial" w:cs="Arial"/>
          <w:sz w:val="18"/>
          <w:szCs w:val="18"/>
          <w:lang w:val="ro-RO"/>
        </w:rPr>
        <w:t>în forma valabilă la momentul respectiv</w:t>
      </w:r>
      <w:r w:rsidR="00AD2741" w:rsidRPr="005C2002">
        <w:rPr>
          <w:rFonts w:ascii="Arial" w:hAnsi="Arial" w:cs="Arial"/>
          <w:sz w:val="18"/>
          <w:szCs w:val="18"/>
          <w:lang w:val="ro-RO"/>
        </w:rPr>
        <w:t>)</w:t>
      </w:r>
      <w:r w:rsidR="00C3612A" w:rsidRPr="005C2002">
        <w:rPr>
          <w:rFonts w:ascii="Arial" w:hAnsi="Arial" w:cs="Arial"/>
          <w:sz w:val="18"/>
          <w:szCs w:val="18"/>
          <w:lang w:val="ro-RO"/>
        </w:rPr>
        <w:t xml:space="preserve">, </w:t>
      </w:r>
      <w:r>
        <w:rPr>
          <w:rFonts w:ascii="Arial" w:hAnsi="Arial" w:cs="Arial"/>
          <w:sz w:val="18"/>
          <w:szCs w:val="18"/>
          <w:lang w:val="ro-RO"/>
        </w:rPr>
        <w:t>ce pot fi accesate și lecturate la adresa</w:t>
      </w:r>
      <w:r w:rsidR="00AD2741" w:rsidRPr="005C2002">
        <w:rPr>
          <w:rFonts w:ascii="Arial" w:hAnsi="Arial" w:cs="Arial"/>
          <w:sz w:val="18"/>
          <w:szCs w:val="18"/>
          <w:lang w:val="ro-RO"/>
        </w:rPr>
        <w:t xml:space="preserve"> </w:t>
      </w:r>
      <w:hyperlink r:id="rId8" w:history="1">
        <w:r w:rsidR="00245411" w:rsidRPr="00245411">
          <w:rPr>
            <w:rStyle w:val="Hyperlink"/>
            <w:rFonts w:ascii="Arial" w:hAnsi="Arial" w:cs="Arial"/>
            <w:sz w:val="18"/>
            <w:szCs w:val="18"/>
            <w:lang w:val="ro-RO"/>
          </w:rPr>
          <w:t>https://www.webasto-group.com/en/the-company/supplier-portal/</w:t>
        </w:r>
      </w:hyperlink>
      <w:r w:rsidR="00AD2741" w:rsidRPr="005C2002">
        <w:rPr>
          <w:rFonts w:ascii="Arial" w:hAnsi="Arial" w:cs="Arial"/>
          <w:sz w:val="18"/>
          <w:szCs w:val="18"/>
          <w:lang w:val="ro-RO"/>
        </w:rPr>
        <w:t xml:space="preserve">. </w:t>
      </w:r>
    </w:p>
    <w:p w14:paraId="29A215C5" w14:textId="77777777" w:rsidR="00352208" w:rsidRPr="005C2002" w:rsidRDefault="00352208" w:rsidP="00CF17F4">
      <w:pPr>
        <w:ind w:left="426" w:hanging="426"/>
        <w:jc w:val="both"/>
        <w:rPr>
          <w:rFonts w:ascii="Arial" w:hAnsi="Arial" w:cs="Arial"/>
          <w:sz w:val="18"/>
          <w:szCs w:val="18"/>
          <w:lang w:val="ro-RO"/>
        </w:rPr>
      </w:pPr>
    </w:p>
    <w:p w14:paraId="4A29EEA6" w14:textId="21BF02F1" w:rsidR="00BF768B" w:rsidRPr="005C2002" w:rsidRDefault="004167A4" w:rsidP="00CF17F4">
      <w:pPr>
        <w:numPr>
          <w:ilvl w:val="0"/>
          <w:numId w:val="1"/>
        </w:numPr>
        <w:tabs>
          <w:tab w:val="clear" w:pos="360"/>
        </w:tabs>
        <w:ind w:left="426" w:hanging="426"/>
        <w:jc w:val="both"/>
        <w:rPr>
          <w:rFonts w:ascii="Arial" w:hAnsi="Arial" w:cs="Arial"/>
          <w:sz w:val="18"/>
          <w:szCs w:val="18"/>
          <w:lang w:val="ro-RO"/>
        </w:rPr>
      </w:pPr>
      <w:r>
        <w:rPr>
          <w:rFonts w:ascii="Arial" w:hAnsi="Arial" w:cs="Arial"/>
          <w:sz w:val="18"/>
          <w:szCs w:val="18"/>
          <w:lang w:val="ro-RO"/>
        </w:rPr>
        <w:t xml:space="preserve">Atâta vreme cât nu se </w:t>
      </w:r>
      <w:r w:rsidR="00DA1EBD">
        <w:rPr>
          <w:rFonts w:ascii="Arial" w:hAnsi="Arial" w:cs="Arial"/>
          <w:sz w:val="18"/>
          <w:szCs w:val="18"/>
          <w:lang w:val="ro-RO"/>
        </w:rPr>
        <w:t>prevede altfel</w:t>
      </w:r>
      <w:r w:rsidR="00493D2E">
        <w:rPr>
          <w:rFonts w:ascii="Arial" w:hAnsi="Arial" w:cs="Arial"/>
          <w:sz w:val="18"/>
          <w:szCs w:val="18"/>
          <w:lang w:val="ro-RO"/>
        </w:rPr>
        <w:t xml:space="preserve"> în mod expres și explicit, acest contract, precum și contractul de furnizare, inclusiv </w:t>
      </w:r>
      <w:r w:rsidR="00DA1EBD">
        <w:rPr>
          <w:rFonts w:ascii="Arial" w:hAnsi="Arial" w:cs="Arial"/>
          <w:sz w:val="18"/>
          <w:szCs w:val="18"/>
          <w:lang w:val="ro-RO"/>
        </w:rPr>
        <w:t>CGA Webasto</w:t>
      </w:r>
      <w:r w:rsidR="00493D2E">
        <w:rPr>
          <w:rFonts w:ascii="Arial" w:hAnsi="Arial" w:cs="Arial"/>
          <w:sz w:val="18"/>
          <w:szCs w:val="18"/>
          <w:lang w:val="ro-RO"/>
        </w:rPr>
        <w:t xml:space="preserve"> și Acordul privitor la asigurarea garanției a grupului Webasto, se supun jurisprudenței statului </w:t>
      </w:r>
      <w:r w:rsidR="00C3612A" w:rsidRPr="005C2002">
        <w:rPr>
          <w:rFonts w:ascii="Arial" w:hAnsi="Arial" w:cs="Arial"/>
          <w:sz w:val="18"/>
          <w:szCs w:val="18"/>
          <w:lang w:val="ro-RO"/>
        </w:rPr>
        <w:t>(</w:t>
      </w:r>
      <w:r w:rsidR="00493D2E">
        <w:rPr>
          <w:rFonts w:ascii="Arial" w:hAnsi="Arial" w:cs="Arial"/>
          <w:sz w:val="18"/>
          <w:szCs w:val="18"/>
          <w:lang w:val="ro-RO"/>
        </w:rPr>
        <w:t>sau țării/sau landului federal</w:t>
      </w:r>
      <w:r w:rsidR="00C3612A" w:rsidRPr="005C2002">
        <w:rPr>
          <w:rFonts w:ascii="Arial" w:hAnsi="Arial" w:cs="Arial"/>
          <w:sz w:val="18"/>
          <w:szCs w:val="18"/>
          <w:lang w:val="ro-RO"/>
        </w:rPr>
        <w:t xml:space="preserve">) </w:t>
      </w:r>
      <w:r w:rsidR="00493D2E">
        <w:rPr>
          <w:rFonts w:ascii="Arial" w:hAnsi="Arial" w:cs="Arial"/>
          <w:sz w:val="18"/>
          <w:szCs w:val="18"/>
          <w:lang w:val="ro-RO"/>
        </w:rPr>
        <w:t>în care își are sediul comercial societatea Webasto care a inițiat comanda. Prevederile Convenției Națiunilor Unite referitoare la contractele de achiziție de mărfuri la nivel internațional și reglementările privitoare la situațiile de coliziune din dreptul privat internațional</w:t>
      </w:r>
      <w:r w:rsidR="0042188F">
        <w:rPr>
          <w:rFonts w:ascii="Arial" w:hAnsi="Arial" w:cs="Arial"/>
          <w:sz w:val="18"/>
          <w:szCs w:val="18"/>
          <w:lang w:val="ro-RO"/>
        </w:rPr>
        <w:t>,</w:t>
      </w:r>
      <w:r w:rsidR="00493D2E">
        <w:rPr>
          <w:rFonts w:ascii="Arial" w:hAnsi="Arial" w:cs="Arial"/>
          <w:sz w:val="18"/>
          <w:szCs w:val="18"/>
          <w:lang w:val="ro-RO"/>
        </w:rPr>
        <w:t xml:space="preserve"> sunt excluse în mod expres și explicit. </w:t>
      </w:r>
      <w:r w:rsidR="00C3612A" w:rsidRPr="005C2002">
        <w:rPr>
          <w:rFonts w:ascii="Arial" w:hAnsi="Arial" w:cs="Arial"/>
          <w:sz w:val="18"/>
          <w:szCs w:val="18"/>
          <w:lang w:val="ro-RO"/>
        </w:rPr>
        <w:t xml:space="preserve">Webasto </w:t>
      </w:r>
      <w:r w:rsidR="00493D2E">
        <w:rPr>
          <w:rFonts w:ascii="Arial" w:hAnsi="Arial" w:cs="Arial"/>
          <w:sz w:val="18"/>
          <w:szCs w:val="18"/>
          <w:lang w:val="ro-RO"/>
        </w:rPr>
        <w:t>și furnizorul se declară de acord ca toate litigiile referitoare la un contract de furnizare să fie rezolvate în mod exclusiv sub competența</w:t>
      </w:r>
      <w:r w:rsidR="00C3612A" w:rsidRPr="005C2002">
        <w:rPr>
          <w:rFonts w:ascii="Arial" w:hAnsi="Arial" w:cs="Arial"/>
          <w:sz w:val="18"/>
          <w:szCs w:val="18"/>
          <w:lang w:val="ro-RO"/>
        </w:rPr>
        <w:t xml:space="preserve"> </w:t>
      </w:r>
      <w:r w:rsidR="00493D2E">
        <w:rPr>
          <w:rFonts w:ascii="Arial" w:hAnsi="Arial" w:cs="Arial"/>
          <w:sz w:val="18"/>
          <w:szCs w:val="18"/>
          <w:lang w:val="ro-RO"/>
        </w:rPr>
        <w:t>jurisdicțională a instanțelor de judecată unde își are sediul comercial societatea Webasto care a lansat comanda</w:t>
      </w:r>
      <w:r w:rsidR="009E55E3">
        <w:rPr>
          <w:rFonts w:ascii="Arial" w:hAnsi="Arial" w:cs="Arial"/>
          <w:sz w:val="18"/>
          <w:szCs w:val="18"/>
          <w:lang w:val="ro-RO"/>
        </w:rPr>
        <w:t xml:space="preserve">. În plus, societatea Webasto care a </w:t>
      </w:r>
      <w:r w:rsidR="003B44CE">
        <w:rPr>
          <w:rFonts w:ascii="Arial" w:hAnsi="Arial" w:cs="Arial"/>
          <w:sz w:val="18"/>
          <w:szCs w:val="18"/>
          <w:lang w:val="ro-RO"/>
        </w:rPr>
        <w:t>lansat</w:t>
      </w:r>
      <w:r w:rsidR="009E55E3">
        <w:rPr>
          <w:rFonts w:ascii="Arial" w:hAnsi="Arial" w:cs="Arial"/>
          <w:sz w:val="18"/>
          <w:szCs w:val="18"/>
          <w:lang w:val="ro-RO"/>
        </w:rPr>
        <w:t xml:space="preserve"> comanda mai este îndreptățită și să </w:t>
      </w:r>
      <w:r w:rsidR="003B44CE">
        <w:rPr>
          <w:rFonts w:ascii="Arial" w:hAnsi="Arial" w:cs="Arial"/>
          <w:sz w:val="18"/>
          <w:szCs w:val="18"/>
          <w:lang w:val="ro-RO"/>
        </w:rPr>
        <w:t>depună</w:t>
      </w:r>
      <w:r w:rsidR="009E55E3">
        <w:rPr>
          <w:rFonts w:ascii="Arial" w:hAnsi="Arial" w:cs="Arial"/>
          <w:sz w:val="18"/>
          <w:szCs w:val="18"/>
          <w:lang w:val="ro-RO"/>
        </w:rPr>
        <w:t xml:space="preserve"> plângere în instanță împotriva furnizorului la instanțele de judecată competente în entitatea teritorială în care furnizorul își are sediul comercial</w:t>
      </w:r>
      <w:r w:rsidR="00C3612A" w:rsidRPr="005C2002">
        <w:rPr>
          <w:rFonts w:ascii="Arial" w:hAnsi="Arial" w:cs="Arial"/>
          <w:sz w:val="18"/>
          <w:szCs w:val="18"/>
          <w:lang w:val="ro-RO"/>
        </w:rPr>
        <w:t>.</w:t>
      </w:r>
      <w:r w:rsidR="0086451F" w:rsidRPr="005C2002">
        <w:rPr>
          <w:rFonts w:ascii="Arial" w:hAnsi="Arial" w:cs="Arial"/>
          <w:sz w:val="18"/>
          <w:szCs w:val="18"/>
          <w:lang w:val="ro-RO"/>
        </w:rPr>
        <w:t xml:space="preserve"> </w:t>
      </w:r>
    </w:p>
    <w:p w14:paraId="45B5261A" w14:textId="77777777" w:rsidR="00BF768B" w:rsidRPr="005C2002" w:rsidRDefault="00BF768B" w:rsidP="00CF17F4">
      <w:pPr>
        <w:pStyle w:val="Listenabsatz"/>
        <w:ind w:left="426" w:hanging="426"/>
        <w:rPr>
          <w:rFonts w:ascii="Arial" w:hAnsi="Arial" w:cs="Arial"/>
          <w:sz w:val="18"/>
          <w:szCs w:val="18"/>
          <w:lang w:val="ro-RO"/>
        </w:rPr>
      </w:pPr>
    </w:p>
    <w:p w14:paraId="51839E71" w14:textId="05DB41C8" w:rsidR="00D30FBB" w:rsidRPr="00D30FBB" w:rsidRDefault="0053129E" w:rsidP="00CF17F4">
      <w:pPr>
        <w:numPr>
          <w:ilvl w:val="0"/>
          <w:numId w:val="1"/>
        </w:numPr>
        <w:tabs>
          <w:tab w:val="clear" w:pos="360"/>
        </w:tabs>
        <w:ind w:left="426" w:hanging="426"/>
        <w:jc w:val="both"/>
        <w:rPr>
          <w:rFonts w:ascii="Arial" w:hAnsi="Arial" w:cs="Arial"/>
          <w:sz w:val="18"/>
          <w:szCs w:val="18"/>
          <w:lang w:val="ro-RO"/>
        </w:rPr>
      </w:pPr>
      <w:r>
        <w:rPr>
          <w:rFonts w:ascii="Arial" w:eastAsia="Arial" w:hAnsi="Arial" w:cs="Arial"/>
          <w:sz w:val="18"/>
          <w:szCs w:val="18"/>
          <w:lang w:val="ro-RO"/>
        </w:rPr>
        <w:t xml:space="preserve">Dacă anumite prevederi individuale din acest contract devin ineficiente sau nu pot fi implementate, fie în ansamblul lor sau doar parțial, nu se aduce atingere valabilității nici uneia din celelalte prevederi contractuale.  Același lucru este valabil și pentru situația în care, după încheierea acestui contract, rezultă o lacună care presupune adoptarea unor amendamente. </w:t>
      </w:r>
      <w:r w:rsidR="008A5AC8">
        <w:rPr>
          <w:rFonts w:ascii="Arial" w:eastAsia="Arial" w:hAnsi="Arial" w:cs="Arial"/>
          <w:sz w:val="18"/>
          <w:szCs w:val="18"/>
          <w:lang w:val="ro-RO"/>
        </w:rPr>
        <w:t xml:space="preserve">În locul prevederilor devenite ineficiente </w:t>
      </w:r>
      <w:r w:rsidR="00491DDD">
        <w:rPr>
          <w:rFonts w:ascii="Arial" w:eastAsia="Arial" w:hAnsi="Arial" w:cs="Arial"/>
          <w:sz w:val="18"/>
          <w:szCs w:val="18"/>
          <w:lang w:val="ro-RO"/>
        </w:rPr>
        <w:t xml:space="preserve">sau a completării lacunelor contractuale, părțile se obligă să convină asupra unui acord, care – în măsura posibilităților legislative – să se apropie cât de mult cu putință, din </w:t>
      </w:r>
      <w:r w:rsidR="00D30FBB">
        <w:rPr>
          <w:rFonts w:ascii="Arial" w:eastAsia="Arial" w:hAnsi="Arial" w:cs="Arial"/>
          <w:sz w:val="18"/>
          <w:szCs w:val="18"/>
          <w:lang w:val="ro-RO"/>
        </w:rPr>
        <w:t>perspectiva</w:t>
      </w:r>
      <w:r w:rsidR="00491DDD">
        <w:rPr>
          <w:rFonts w:ascii="Arial" w:eastAsia="Arial" w:hAnsi="Arial" w:cs="Arial"/>
          <w:sz w:val="18"/>
          <w:szCs w:val="18"/>
          <w:lang w:val="ro-RO"/>
        </w:rPr>
        <w:t xml:space="preserve"> eficienței comerciale</w:t>
      </w:r>
      <w:r w:rsidR="003B44CE">
        <w:rPr>
          <w:rFonts w:ascii="Arial" w:eastAsia="Arial" w:hAnsi="Arial" w:cs="Arial"/>
          <w:sz w:val="18"/>
          <w:szCs w:val="18"/>
          <w:lang w:val="ro-RO"/>
        </w:rPr>
        <w:t>/</w:t>
      </w:r>
      <w:r w:rsidR="00491DDD">
        <w:rPr>
          <w:rFonts w:ascii="Arial" w:eastAsia="Arial" w:hAnsi="Arial" w:cs="Arial"/>
          <w:sz w:val="18"/>
          <w:szCs w:val="18"/>
          <w:lang w:val="ro-RO"/>
        </w:rPr>
        <w:t xml:space="preserve">al rentabilității, de ceea ce au urmărit inițial părțile prin prevederile devenite ineficiente sau impracticabile sau – în cazul lacunelor contractuale, care presupun aducerea de amendamente sau completări – </w:t>
      </w:r>
      <w:r w:rsidR="00C354A7">
        <w:rPr>
          <w:rFonts w:ascii="Arial" w:eastAsia="Arial" w:hAnsi="Arial" w:cs="Arial"/>
          <w:sz w:val="18"/>
          <w:szCs w:val="18"/>
          <w:lang w:val="ro-RO"/>
        </w:rPr>
        <w:t xml:space="preserve">să clarifice </w:t>
      </w:r>
      <w:r w:rsidR="00D30FBB">
        <w:rPr>
          <w:rFonts w:ascii="Arial" w:eastAsia="Arial" w:hAnsi="Arial" w:cs="Arial"/>
          <w:sz w:val="18"/>
          <w:szCs w:val="18"/>
          <w:lang w:val="ro-RO"/>
        </w:rPr>
        <w:t>ce ar fi putut urmări</w:t>
      </w:r>
      <w:r w:rsidR="00C354A7">
        <w:rPr>
          <w:rFonts w:ascii="Arial" w:eastAsia="Arial" w:hAnsi="Arial" w:cs="Arial"/>
          <w:sz w:val="18"/>
          <w:szCs w:val="18"/>
          <w:lang w:val="ro-RO"/>
        </w:rPr>
        <w:t xml:space="preserve"> părțile inițial</w:t>
      </w:r>
      <w:r w:rsidR="00217601">
        <w:rPr>
          <w:rFonts w:ascii="Arial" w:eastAsia="Arial" w:hAnsi="Arial" w:cs="Arial"/>
          <w:sz w:val="18"/>
          <w:szCs w:val="18"/>
          <w:lang w:val="ro-RO"/>
        </w:rPr>
        <w:t>,</w:t>
      </w:r>
      <w:r w:rsidR="00D30FBB">
        <w:rPr>
          <w:rFonts w:ascii="Arial" w:eastAsia="Arial" w:hAnsi="Arial" w:cs="Arial"/>
          <w:sz w:val="18"/>
          <w:szCs w:val="18"/>
          <w:lang w:val="ro-RO"/>
        </w:rPr>
        <w:t xml:space="preserve"> </w:t>
      </w:r>
      <w:r w:rsidR="00491DDD">
        <w:rPr>
          <w:rFonts w:ascii="Arial" w:eastAsia="Arial" w:hAnsi="Arial" w:cs="Arial"/>
          <w:sz w:val="18"/>
          <w:szCs w:val="18"/>
          <w:lang w:val="ro-RO"/>
        </w:rPr>
        <w:t xml:space="preserve">în sensul și scopul </w:t>
      </w:r>
      <w:r w:rsidR="00D30FBB">
        <w:rPr>
          <w:rFonts w:ascii="Arial" w:eastAsia="Arial" w:hAnsi="Arial" w:cs="Arial"/>
          <w:sz w:val="18"/>
          <w:szCs w:val="18"/>
          <w:lang w:val="ro-RO"/>
        </w:rPr>
        <w:t xml:space="preserve">acestui contact, în măsura în care ar fi </w:t>
      </w:r>
      <w:r w:rsidR="00C354A7">
        <w:rPr>
          <w:rFonts w:ascii="Arial" w:eastAsia="Arial" w:hAnsi="Arial" w:cs="Arial"/>
          <w:sz w:val="18"/>
          <w:szCs w:val="18"/>
          <w:lang w:val="ro-RO"/>
        </w:rPr>
        <w:t xml:space="preserve">fost </w:t>
      </w:r>
      <w:r w:rsidR="00D30FBB">
        <w:rPr>
          <w:rFonts w:ascii="Arial" w:eastAsia="Arial" w:hAnsi="Arial" w:cs="Arial"/>
          <w:sz w:val="18"/>
          <w:szCs w:val="18"/>
          <w:lang w:val="ro-RO"/>
        </w:rPr>
        <w:t xml:space="preserve">luat în considerare </w:t>
      </w:r>
      <w:r w:rsidR="00C354A7">
        <w:rPr>
          <w:rFonts w:ascii="Arial" w:eastAsia="Arial" w:hAnsi="Arial" w:cs="Arial"/>
          <w:sz w:val="18"/>
          <w:szCs w:val="18"/>
          <w:lang w:val="ro-RO"/>
        </w:rPr>
        <w:t xml:space="preserve">de la bun început </w:t>
      </w:r>
      <w:r w:rsidR="00D30FBB">
        <w:rPr>
          <w:rFonts w:ascii="Arial" w:eastAsia="Arial" w:hAnsi="Arial" w:cs="Arial"/>
          <w:sz w:val="18"/>
          <w:szCs w:val="18"/>
          <w:lang w:val="ro-RO"/>
        </w:rPr>
        <w:t>respectivul punct</w:t>
      </w:r>
      <w:r w:rsidR="00217601">
        <w:rPr>
          <w:rFonts w:ascii="Arial" w:eastAsia="Arial" w:hAnsi="Arial" w:cs="Arial"/>
          <w:sz w:val="18"/>
          <w:szCs w:val="18"/>
          <w:lang w:val="ro-RO"/>
        </w:rPr>
        <w:t>,</w:t>
      </w:r>
      <w:r w:rsidR="00D30FBB">
        <w:rPr>
          <w:rFonts w:ascii="Arial" w:eastAsia="Arial" w:hAnsi="Arial" w:cs="Arial"/>
          <w:sz w:val="18"/>
          <w:szCs w:val="18"/>
          <w:lang w:val="ro-RO"/>
        </w:rPr>
        <w:t xml:space="preserve"> care </w:t>
      </w:r>
      <w:r w:rsidR="00C354A7">
        <w:rPr>
          <w:rFonts w:ascii="Arial" w:eastAsia="Arial" w:hAnsi="Arial" w:cs="Arial"/>
          <w:sz w:val="18"/>
          <w:szCs w:val="18"/>
          <w:lang w:val="ro-RO"/>
        </w:rPr>
        <w:t xml:space="preserve">s-a dovedit a </w:t>
      </w:r>
      <w:r w:rsidR="00D30FBB">
        <w:rPr>
          <w:rFonts w:ascii="Arial" w:eastAsia="Arial" w:hAnsi="Arial" w:cs="Arial"/>
          <w:sz w:val="18"/>
          <w:szCs w:val="18"/>
          <w:lang w:val="ro-RO"/>
        </w:rPr>
        <w:t xml:space="preserve">necesita reglementări suplimentare. </w:t>
      </w:r>
    </w:p>
    <w:p w14:paraId="41623D93" w14:textId="77777777" w:rsidR="00D30FBB" w:rsidRDefault="00D30FBB" w:rsidP="00D30FBB">
      <w:pPr>
        <w:pStyle w:val="Listenabsatz"/>
        <w:rPr>
          <w:rFonts w:ascii="Arial" w:eastAsia="Arial" w:hAnsi="Arial" w:cs="Arial"/>
          <w:sz w:val="18"/>
          <w:szCs w:val="18"/>
          <w:lang w:val="ro-RO"/>
        </w:rPr>
      </w:pPr>
    </w:p>
    <w:p w14:paraId="70E11926" w14:textId="77777777" w:rsidR="00391737" w:rsidRDefault="00391737" w:rsidP="00CF17F4">
      <w:pPr>
        <w:ind w:left="426" w:hanging="426"/>
        <w:jc w:val="both"/>
        <w:rPr>
          <w:rFonts w:ascii="Arial" w:eastAsia="Arial" w:hAnsi="Arial" w:cs="Arial"/>
          <w:sz w:val="18"/>
          <w:szCs w:val="18"/>
          <w:lang w:val="ro-RO"/>
        </w:rPr>
      </w:pPr>
    </w:p>
    <w:p w14:paraId="068EC477" w14:textId="77777777" w:rsidR="00C354A7" w:rsidRDefault="00C354A7" w:rsidP="00CF17F4">
      <w:pPr>
        <w:ind w:left="426" w:hanging="426"/>
        <w:jc w:val="both"/>
        <w:rPr>
          <w:rFonts w:ascii="Arial" w:eastAsia="Arial" w:hAnsi="Arial" w:cs="Arial"/>
          <w:sz w:val="18"/>
          <w:szCs w:val="18"/>
          <w:lang w:val="ro-RO"/>
        </w:rPr>
      </w:pPr>
    </w:p>
    <w:p w14:paraId="2E13ADDF" w14:textId="77777777" w:rsidR="00C354A7" w:rsidRDefault="00C354A7" w:rsidP="00CF17F4">
      <w:pPr>
        <w:ind w:left="426" w:hanging="426"/>
        <w:jc w:val="both"/>
        <w:rPr>
          <w:rFonts w:ascii="Arial" w:eastAsia="Arial" w:hAnsi="Arial" w:cs="Arial"/>
          <w:sz w:val="18"/>
          <w:szCs w:val="18"/>
          <w:lang w:val="ro-RO"/>
        </w:rPr>
      </w:pPr>
    </w:p>
    <w:p w14:paraId="44021708" w14:textId="77777777" w:rsidR="00C354A7" w:rsidRDefault="00C354A7" w:rsidP="00CF17F4">
      <w:pPr>
        <w:ind w:left="426" w:hanging="426"/>
        <w:jc w:val="both"/>
        <w:rPr>
          <w:rFonts w:ascii="Arial" w:eastAsia="Arial" w:hAnsi="Arial" w:cs="Arial"/>
          <w:sz w:val="18"/>
          <w:szCs w:val="18"/>
          <w:lang w:val="ro-RO"/>
        </w:rPr>
      </w:pPr>
    </w:p>
    <w:p w14:paraId="1F3A71A3" w14:textId="77777777" w:rsidR="00C354A7" w:rsidRPr="005C2002" w:rsidRDefault="00C354A7" w:rsidP="00CF17F4">
      <w:pPr>
        <w:ind w:left="426" w:hanging="426"/>
        <w:jc w:val="both"/>
        <w:rPr>
          <w:rFonts w:ascii="Arial" w:hAnsi="Arial" w:cs="Arial"/>
          <w:sz w:val="18"/>
          <w:szCs w:val="18"/>
          <w:lang w:val="ro-RO"/>
        </w:rPr>
      </w:pPr>
    </w:p>
    <w:p w14:paraId="20264AFD" w14:textId="77777777" w:rsidR="003F60DD" w:rsidRDefault="00F7747B" w:rsidP="00CF17F4">
      <w:pPr>
        <w:ind w:left="426" w:hanging="426"/>
        <w:jc w:val="both"/>
        <w:outlineLvl w:val="0"/>
        <w:rPr>
          <w:rFonts w:ascii="Arial" w:hAnsi="Arial" w:cs="Arial"/>
          <w:sz w:val="18"/>
          <w:szCs w:val="18"/>
          <w:lang w:val="ro-RO"/>
        </w:rPr>
      </w:pPr>
      <w:r w:rsidRPr="005C2002">
        <w:rPr>
          <w:rFonts w:ascii="Arial" w:hAnsi="Arial" w:cs="Arial"/>
          <w:sz w:val="18"/>
          <w:szCs w:val="18"/>
          <w:lang w:val="ro-RO"/>
        </w:rPr>
        <w:t>pentru</w:t>
      </w:r>
      <w:r w:rsidR="003F60DD" w:rsidRPr="005C2002">
        <w:rPr>
          <w:rFonts w:ascii="Arial" w:hAnsi="Arial" w:cs="Arial"/>
          <w:sz w:val="18"/>
          <w:szCs w:val="18"/>
          <w:lang w:val="ro-RO"/>
        </w:rPr>
        <w:t xml:space="preserve"> Webasto:</w:t>
      </w:r>
    </w:p>
    <w:p w14:paraId="78179E67" w14:textId="77777777" w:rsidR="00C354A7" w:rsidRDefault="00C354A7" w:rsidP="00CF17F4">
      <w:pPr>
        <w:ind w:left="426" w:hanging="426"/>
        <w:jc w:val="both"/>
        <w:outlineLvl w:val="0"/>
        <w:rPr>
          <w:rFonts w:ascii="Arial" w:hAnsi="Arial" w:cs="Arial"/>
          <w:sz w:val="18"/>
          <w:szCs w:val="18"/>
          <w:lang w:val="ro-RO"/>
        </w:rPr>
      </w:pPr>
    </w:p>
    <w:p w14:paraId="3D24D519" w14:textId="77777777" w:rsidR="00C354A7" w:rsidRPr="005C2002" w:rsidRDefault="00C354A7" w:rsidP="00CF17F4">
      <w:pPr>
        <w:ind w:left="426" w:hanging="426"/>
        <w:jc w:val="both"/>
        <w:outlineLvl w:val="0"/>
        <w:rPr>
          <w:rFonts w:ascii="Arial" w:hAnsi="Arial" w:cs="Arial"/>
          <w:sz w:val="18"/>
          <w:szCs w:val="18"/>
          <w:lang w:val="ro-RO"/>
        </w:rPr>
      </w:pPr>
    </w:p>
    <w:tbl>
      <w:tblPr>
        <w:tblW w:w="0" w:type="auto"/>
        <w:tblLayout w:type="fixed"/>
        <w:tblCellMar>
          <w:left w:w="70" w:type="dxa"/>
          <w:right w:w="70" w:type="dxa"/>
        </w:tblCellMar>
        <w:tblLook w:val="0000" w:firstRow="0" w:lastRow="0" w:firstColumn="0" w:lastColumn="0" w:noHBand="0" w:noVBand="0"/>
      </w:tblPr>
      <w:tblGrid>
        <w:gridCol w:w="1346"/>
        <w:gridCol w:w="170"/>
        <w:gridCol w:w="2268"/>
        <w:gridCol w:w="170"/>
        <w:gridCol w:w="4763"/>
      </w:tblGrid>
      <w:tr w:rsidR="003F60DD" w:rsidRPr="005C2002" w14:paraId="67794BFD" w14:textId="77777777" w:rsidTr="00BB1DF9">
        <w:tc>
          <w:tcPr>
            <w:tcW w:w="1346" w:type="dxa"/>
            <w:tcBorders>
              <w:bottom w:val="single" w:sz="4" w:space="0" w:color="auto"/>
            </w:tcBorders>
          </w:tcPr>
          <w:p w14:paraId="490FE757" w14:textId="77777777" w:rsidR="003F60DD" w:rsidRPr="005C2002" w:rsidRDefault="003F60DD" w:rsidP="00CF17F4">
            <w:pPr>
              <w:ind w:left="426" w:hanging="426"/>
              <w:jc w:val="both"/>
              <w:rPr>
                <w:rFonts w:ascii="Arial" w:hAnsi="Arial" w:cs="Arial"/>
                <w:sz w:val="18"/>
                <w:szCs w:val="18"/>
                <w:lang w:val="ro-RO"/>
              </w:rPr>
            </w:pPr>
          </w:p>
        </w:tc>
        <w:tc>
          <w:tcPr>
            <w:tcW w:w="170" w:type="dxa"/>
          </w:tcPr>
          <w:p w14:paraId="022AC47C" w14:textId="77777777" w:rsidR="003F60DD" w:rsidRPr="005C2002" w:rsidRDefault="003F60DD" w:rsidP="00CF17F4">
            <w:pPr>
              <w:ind w:left="426" w:hanging="426"/>
              <w:jc w:val="both"/>
              <w:rPr>
                <w:rFonts w:ascii="Arial" w:hAnsi="Arial" w:cs="Arial"/>
                <w:sz w:val="18"/>
                <w:szCs w:val="18"/>
                <w:lang w:val="ro-RO"/>
              </w:rPr>
            </w:pPr>
          </w:p>
        </w:tc>
        <w:tc>
          <w:tcPr>
            <w:tcW w:w="2268" w:type="dxa"/>
            <w:tcBorders>
              <w:bottom w:val="single" w:sz="4" w:space="0" w:color="auto"/>
            </w:tcBorders>
          </w:tcPr>
          <w:p w14:paraId="3DC06E49" w14:textId="77777777" w:rsidR="003F60DD" w:rsidRPr="005C2002" w:rsidRDefault="003F60DD" w:rsidP="00CF17F4">
            <w:pPr>
              <w:ind w:left="426" w:hanging="426"/>
              <w:jc w:val="both"/>
              <w:rPr>
                <w:rFonts w:ascii="Arial" w:hAnsi="Arial" w:cs="Arial"/>
                <w:sz w:val="18"/>
                <w:szCs w:val="18"/>
                <w:lang w:val="ro-RO"/>
              </w:rPr>
            </w:pPr>
          </w:p>
        </w:tc>
        <w:tc>
          <w:tcPr>
            <w:tcW w:w="170" w:type="dxa"/>
          </w:tcPr>
          <w:p w14:paraId="1A53CAEE" w14:textId="77777777" w:rsidR="003F60DD" w:rsidRPr="005C2002" w:rsidRDefault="003F60DD" w:rsidP="00CF17F4">
            <w:pPr>
              <w:ind w:left="426" w:hanging="426"/>
              <w:jc w:val="both"/>
              <w:rPr>
                <w:rFonts w:ascii="Arial" w:hAnsi="Arial" w:cs="Arial"/>
                <w:sz w:val="18"/>
                <w:szCs w:val="18"/>
                <w:lang w:val="ro-RO"/>
              </w:rPr>
            </w:pPr>
          </w:p>
        </w:tc>
        <w:tc>
          <w:tcPr>
            <w:tcW w:w="4763" w:type="dxa"/>
            <w:tcBorders>
              <w:bottom w:val="single" w:sz="4" w:space="0" w:color="auto"/>
            </w:tcBorders>
          </w:tcPr>
          <w:p w14:paraId="1B9CBFDD" w14:textId="77777777" w:rsidR="003F60DD" w:rsidRPr="005C2002" w:rsidRDefault="003F60DD" w:rsidP="00CF17F4">
            <w:pPr>
              <w:ind w:left="426" w:hanging="426"/>
              <w:jc w:val="both"/>
              <w:rPr>
                <w:rFonts w:ascii="Arial" w:hAnsi="Arial" w:cs="Arial"/>
                <w:sz w:val="18"/>
                <w:szCs w:val="18"/>
                <w:lang w:val="ro-RO"/>
              </w:rPr>
            </w:pPr>
          </w:p>
        </w:tc>
      </w:tr>
      <w:tr w:rsidR="003F60DD" w:rsidRPr="005C2002" w14:paraId="19F74F2C" w14:textId="77777777" w:rsidTr="00BB1DF9">
        <w:tc>
          <w:tcPr>
            <w:tcW w:w="1346" w:type="dxa"/>
          </w:tcPr>
          <w:p w14:paraId="3365066C" w14:textId="77777777" w:rsidR="003F60DD" w:rsidRPr="005C2002" w:rsidRDefault="003F60DD" w:rsidP="00F7747B">
            <w:pPr>
              <w:ind w:left="426" w:hanging="426"/>
              <w:jc w:val="both"/>
              <w:rPr>
                <w:rFonts w:ascii="Arial" w:hAnsi="Arial" w:cs="Arial"/>
                <w:position w:val="12"/>
                <w:sz w:val="18"/>
                <w:szCs w:val="18"/>
                <w:lang w:val="ro-RO"/>
              </w:rPr>
            </w:pPr>
            <w:r w:rsidRPr="005C2002">
              <w:rPr>
                <w:rFonts w:ascii="Arial" w:hAnsi="Arial" w:cs="Arial"/>
                <w:position w:val="12"/>
                <w:sz w:val="18"/>
                <w:szCs w:val="18"/>
                <w:lang w:val="ro-RO"/>
              </w:rPr>
              <w:t>(</w:t>
            </w:r>
            <w:r w:rsidR="00F7747B" w:rsidRPr="005C2002">
              <w:rPr>
                <w:rFonts w:ascii="Arial" w:hAnsi="Arial" w:cs="Arial"/>
                <w:position w:val="12"/>
                <w:sz w:val="18"/>
                <w:szCs w:val="18"/>
                <w:lang w:val="ro-RO"/>
              </w:rPr>
              <w:t>Locul</w:t>
            </w:r>
            <w:r w:rsidRPr="005C2002">
              <w:rPr>
                <w:rFonts w:ascii="Arial" w:hAnsi="Arial" w:cs="Arial"/>
                <w:position w:val="12"/>
                <w:sz w:val="18"/>
                <w:szCs w:val="18"/>
                <w:lang w:val="ro-RO"/>
              </w:rPr>
              <w:t>)</w:t>
            </w:r>
          </w:p>
        </w:tc>
        <w:tc>
          <w:tcPr>
            <w:tcW w:w="170" w:type="dxa"/>
          </w:tcPr>
          <w:p w14:paraId="45B42B16" w14:textId="77777777" w:rsidR="003F60DD" w:rsidRPr="005C2002" w:rsidRDefault="003F60DD" w:rsidP="00CF17F4">
            <w:pPr>
              <w:ind w:left="426" w:hanging="426"/>
              <w:jc w:val="both"/>
              <w:rPr>
                <w:rFonts w:ascii="Arial" w:hAnsi="Arial" w:cs="Arial"/>
                <w:position w:val="12"/>
                <w:sz w:val="18"/>
                <w:szCs w:val="18"/>
                <w:lang w:val="ro-RO"/>
              </w:rPr>
            </w:pPr>
          </w:p>
        </w:tc>
        <w:tc>
          <w:tcPr>
            <w:tcW w:w="2268" w:type="dxa"/>
          </w:tcPr>
          <w:p w14:paraId="2BE5BA45" w14:textId="77777777" w:rsidR="003F60DD" w:rsidRPr="005C2002" w:rsidRDefault="003F60DD" w:rsidP="00F7747B">
            <w:pPr>
              <w:ind w:left="426" w:hanging="426"/>
              <w:jc w:val="both"/>
              <w:rPr>
                <w:rFonts w:ascii="Arial" w:hAnsi="Arial" w:cs="Arial"/>
                <w:position w:val="12"/>
                <w:sz w:val="18"/>
                <w:szCs w:val="18"/>
                <w:lang w:val="ro-RO"/>
              </w:rPr>
            </w:pPr>
            <w:r w:rsidRPr="005C2002">
              <w:rPr>
                <w:rFonts w:ascii="Arial" w:hAnsi="Arial" w:cs="Arial"/>
                <w:position w:val="12"/>
                <w:sz w:val="18"/>
                <w:szCs w:val="18"/>
                <w:lang w:val="ro-RO"/>
              </w:rPr>
              <w:t>(Dat</w:t>
            </w:r>
            <w:r w:rsidR="00F7747B" w:rsidRPr="005C2002">
              <w:rPr>
                <w:rFonts w:ascii="Arial" w:hAnsi="Arial" w:cs="Arial"/>
                <w:position w:val="12"/>
                <w:sz w:val="18"/>
                <w:szCs w:val="18"/>
                <w:lang w:val="ro-RO"/>
              </w:rPr>
              <w:t>a</w:t>
            </w:r>
            <w:r w:rsidRPr="005C2002">
              <w:rPr>
                <w:rFonts w:ascii="Arial" w:hAnsi="Arial" w:cs="Arial"/>
                <w:position w:val="12"/>
                <w:sz w:val="18"/>
                <w:szCs w:val="18"/>
                <w:lang w:val="ro-RO"/>
              </w:rPr>
              <w:t>)</w:t>
            </w:r>
          </w:p>
        </w:tc>
        <w:tc>
          <w:tcPr>
            <w:tcW w:w="170" w:type="dxa"/>
          </w:tcPr>
          <w:p w14:paraId="2727A34A" w14:textId="77777777" w:rsidR="003F60DD" w:rsidRPr="005C2002" w:rsidRDefault="003F60DD" w:rsidP="00CF17F4">
            <w:pPr>
              <w:ind w:left="426" w:hanging="426"/>
              <w:jc w:val="both"/>
              <w:rPr>
                <w:rFonts w:ascii="Arial" w:hAnsi="Arial" w:cs="Arial"/>
                <w:position w:val="12"/>
                <w:sz w:val="18"/>
                <w:szCs w:val="18"/>
                <w:lang w:val="ro-RO"/>
              </w:rPr>
            </w:pPr>
          </w:p>
        </w:tc>
        <w:tc>
          <w:tcPr>
            <w:tcW w:w="4763" w:type="dxa"/>
          </w:tcPr>
          <w:p w14:paraId="36B00688" w14:textId="77777777" w:rsidR="003F60DD" w:rsidRPr="005C2002" w:rsidRDefault="003F60DD" w:rsidP="00F7747B">
            <w:pPr>
              <w:tabs>
                <w:tab w:val="left" w:pos="1928"/>
              </w:tabs>
              <w:ind w:left="426" w:hanging="426"/>
              <w:jc w:val="both"/>
              <w:rPr>
                <w:rFonts w:ascii="Arial" w:hAnsi="Arial" w:cs="Arial"/>
                <w:position w:val="12"/>
                <w:sz w:val="18"/>
                <w:szCs w:val="18"/>
                <w:lang w:val="ro-RO"/>
              </w:rPr>
            </w:pPr>
            <w:r w:rsidRPr="005C2002">
              <w:rPr>
                <w:rFonts w:ascii="Arial" w:hAnsi="Arial" w:cs="Arial"/>
                <w:position w:val="12"/>
                <w:sz w:val="18"/>
                <w:szCs w:val="18"/>
                <w:lang w:val="ro-RO"/>
              </w:rPr>
              <w:t>(</w:t>
            </w:r>
            <w:r w:rsidR="00F7747B" w:rsidRPr="005C2002">
              <w:rPr>
                <w:rFonts w:ascii="Arial" w:hAnsi="Arial" w:cs="Arial"/>
                <w:position w:val="12"/>
                <w:sz w:val="18"/>
                <w:szCs w:val="18"/>
                <w:lang w:val="ro-RO"/>
              </w:rPr>
              <w:t>Semnătura</w:t>
            </w:r>
            <w:r w:rsidRPr="005C2002">
              <w:rPr>
                <w:rFonts w:ascii="Arial" w:hAnsi="Arial" w:cs="Arial"/>
                <w:position w:val="12"/>
                <w:sz w:val="18"/>
                <w:szCs w:val="18"/>
                <w:lang w:val="ro-RO"/>
              </w:rPr>
              <w:t>)</w:t>
            </w:r>
          </w:p>
        </w:tc>
      </w:tr>
    </w:tbl>
    <w:p w14:paraId="3FA51490" w14:textId="77777777" w:rsidR="0086451F" w:rsidRDefault="0086451F" w:rsidP="00CF17F4">
      <w:pPr>
        <w:ind w:left="426" w:hanging="426"/>
        <w:jc w:val="both"/>
        <w:rPr>
          <w:rFonts w:ascii="Arial" w:hAnsi="Arial" w:cs="Arial"/>
          <w:sz w:val="18"/>
          <w:szCs w:val="18"/>
          <w:lang w:val="ro-RO"/>
        </w:rPr>
      </w:pPr>
    </w:p>
    <w:p w14:paraId="3B12C063" w14:textId="77777777" w:rsidR="00C354A7" w:rsidRDefault="00C354A7" w:rsidP="00CF17F4">
      <w:pPr>
        <w:ind w:left="426" w:hanging="426"/>
        <w:jc w:val="both"/>
        <w:rPr>
          <w:rFonts w:ascii="Arial" w:hAnsi="Arial" w:cs="Arial"/>
          <w:sz w:val="18"/>
          <w:szCs w:val="18"/>
          <w:lang w:val="ro-RO"/>
        </w:rPr>
      </w:pPr>
    </w:p>
    <w:p w14:paraId="596B7B44" w14:textId="77777777" w:rsidR="00C354A7" w:rsidRPr="005C2002" w:rsidRDefault="00C354A7" w:rsidP="00CF17F4">
      <w:pPr>
        <w:ind w:left="426" w:hanging="426"/>
        <w:jc w:val="both"/>
        <w:rPr>
          <w:rFonts w:ascii="Arial" w:hAnsi="Arial" w:cs="Arial"/>
          <w:sz w:val="18"/>
          <w:szCs w:val="18"/>
          <w:lang w:val="ro-RO"/>
        </w:rPr>
      </w:pPr>
    </w:p>
    <w:p w14:paraId="0B64CFB9" w14:textId="77777777" w:rsidR="003F60DD" w:rsidRDefault="00F7747B" w:rsidP="00CF17F4">
      <w:pPr>
        <w:ind w:left="426" w:hanging="426"/>
        <w:jc w:val="both"/>
        <w:rPr>
          <w:rFonts w:ascii="Arial" w:hAnsi="Arial" w:cs="Arial"/>
          <w:sz w:val="18"/>
          <w:szCs w:val="18"/>
          <w:lang w:val="ro-RO"/>
        </w:rPr>
      </w:pPr>
      <w:r w:rsidRPr="005C2002">
        <w:rPr>
          <w:rFonts w:ascii="Arial" w:hAnsi="Arial" w:cs="Arial"/>
          <w:sz w:val="18"/>
          <w:szCs w:val="18"/>
          <w:lang w:val="ro-RO"/>
        </w:rPr>
        <w:t>pentru furnizor</w:t>
      </w:r>
      <w:r w:rsidR="003F60DD" w:rsidRPr="005C2002">
        <w:rPr>
          <w:rFonts w:ascii="Arial" w:hAnsi="Arial" w:cs="Arial"/>
          <w:sz w:val="18"/>
          <w:szCs w:val="18"/>
          <w:lang w:val="ro-RO"/>
        </w:rPr>
        <w:t>:</w:t>
      </w:r>
    </w:p>
    <w:p w14:paraId="3581B4E3" w14:textId="77777777" w:rsidR="00C354A7" w:rsidRDefault="00C354A7" w:rsidP="00CF17F4">
      <w:pPr>
        <w:ind w:left="426" w:hanging="426"/>
        <w:jc w:val="both"/>
        <w:rPr>
          <w:rFonts w:ascii="Arial" w:hAnsi="Arial" w:cs="Arial"/>
          <w:sz w:val="18"/>
          <w:szCs w:val="18"/>
          <w:lang w:val="ro-RO"/>
        </w:rPr>
      </w:pPr>
    </w:p>
    <w:p w14:paraId="4C0549A5" w14:textId="77777777" w:rsidR="00C354A7" w:rsidRPr="005C2002" w:rsidRDefault="00C354A7" w:rsidP="00CF17F4">
      <w:pPr>
        <w:ind w:left="426" w:hanging="426"/>
        <w:jc w:val="both"/>
        <w:rPr>
          <w:rFonts w:ascii="Arial" w:hAnsi="Arial" w:cs="Arial"/>
          <w:sz w:val="18"/>
          <w:szCs w:val="18"/>
          <w:lang w:val="ro-RO"/>
        </w:rPr>
      </w:pPr>
    </w:p>
    <w:tbl>
      <w:tblPr>
        <w:tblW w:w="0" w:type="auto"/>
        <w:tblLayout w:type="fixed"/>
        <w:tblCellMar>
          <w:left w:w="70" w:type="dxa"/>
          <w:right w:w="70" w:type="dxa"/>
        </w:tblCellMar>
        <w:tblLook w:val="0000" w:firstRow="0" w:lastRow="0" w:firstColumn="0" w:lastColumn="0" w:noHBand="0" w:noVBand="0"/>
      </w:tblPr>
      <w:tblGrid>
        <w:gridCol w:w="1346"/>
        <w:gridCol w:w="170"/>
        <w:gridCol w:w="2268"/>
        <w:gridCol w:w="170"/>
        <w:gridCol w:w="4763"/>
      </w:tblGrid>
      <w:tr w:rsidR="003F60DD" w:rsidRPr="005C2002" w14:paraId="551E6D6F" w14:textId="77777777" w:rsidTr="00BB1DF9">
        <w:tc>
          <w:tcPr>
            <w:tcW w:w="1346" w:type="dxa"/>
            <w:tcBorders>
              <w:bottom w:val="single" w:sz="4" w:space="0" w:color="auto"/>
            </w:tcBorders>
          </w:tcPr>
          <w:p w14:paraId="01E72F57" w14:textId="77777777" w:rsidR="003F60DD" w:rsidRPr="005C2002" w:rsidRDefault="003F60DD" w:rsidP="00CF17F4">
            <w:pPr>
              <w:ind w:left="426" w:hanging="426"/>
              <w:jc w:val="both"/>
              <w:rPr>
                <w:rFonts w:ascii="Arial" w:hAnsi="Arial" w:cs="Arial"/>
                <w:sz w:val="18"/>
                <w:szCs w:val="18"/>
                <w:lang w:val="ro-RO"/>
              </w:rPr>
            </w:pPr>
          </w:p>
        </w:tc>
        <w:tc>
          <w:tcPr>
            <w:tcW w:w="170" w:type="dxa"/>
          </w:tcPr>
          <w:p w14:paraId="1D0FBB67" w14:textId="77777777" w:rsidR="003F60DD" w:rsidRPr="005C2002" w:rsidRDefault="003F60DD" w:rsidP="00CF17F4">
            <w:pPr>
              <w:ind w:left="426" w:hanging="426"/>
              <w:jc w:val="both"/>
              <w:rPr>
                <w:rFonts w:ascii="Arial" w:hAnsi="Arial" w:cs="Arial"/>
                <w:sz w:val="18"/>
                <w:szCs w:val="18"/>
                <w:lang w:val="ro-RO"/>
              </w:rPr>
            </w:pPr>
          </w:p>
        </w:tc>
        <w:tc>
          <w:tcPr>
            <w:tcW w:w="2268" w:type="dxa"/>
            <w:tcBorders>
              <w:bottom w:val="single" w:sz="4" w:space="0" w:color="auto"/>
            </w:tcBorders>
          </w:tcPr>
          <w:p w14:paraId="7F952AFE" w14:textId="77777777" w:rsidR="003F60DD" w:rsidRPr="005C2002" w:rsidRDefault="003F60DD" w:rsidP="00CF17F4">
            <w:pPr>
              <w:ind w:left="426" w:hanging="426"/>
              <w:jc w:val="both"/>
              <w:rPr>
                <w:rFonts w:ascii="Arial" w:hAnsi="Arial" w:cs="Arial"/>
                <w:sz w:val="18"/>
                <w:szCs w:val="18"/>
                <w:lang w:val="ro-RO"/>
              </w:rPr>
            </w:pPr>
          </w:p>
        </w:tc>
        <w:tc>
          <w:tcPr>
            <w:tcW w:w="170" w:type="dxa"/>
          </w:tcPr>
          <w:p w14:paraId="189F5B8B" w14:textId="77777777" w:rsidR="003F60DD" w:rsidRPr="005C2002" w:rsidRDefault="003F60DD" w:rsidP="00CF17F4">
            <w:pPr>
              <w:ind w:left="426" w:hanging="426"/>
              <w:jc w:val="both"/>
              <w:rPr>
                <w:rFonts w:ascii="Arial" w:hAnsi="Arial" w:cs="Arial"/>
                <w:sz w:val="18"/>
                <w:szCs w:val="18"/>
                <w:lang w:val="ro-RO"/>
              </w:rPr>
            </w:pPr>
          </w:p>
        </w:tc>
        <w:tc>
          <w:tcPr>
            <w:tcW w:w="4763" w:type="dxa"/>
            <w:tcBorders>
              <w:bottom w:val="single" w:sz="4" w:space="0" w:color="auto"/>
            </w:tcBorders>
          </w:tcPr>
          <w:p w14:paraId="3487B458" w14:textId="77777777" w:rsidR="003F60DD" w:rsidRPr="005C2002" w:rsidRDefault="003F60DD" w:rsidP="00CF17F4">
            <w:pPr>
              <w:ind w:left="426" w:hanging="426"/>
              <w:jc w:val="both"/>
              <w:rPr>
                <w:rFonts w:ascii="Arial" w:hAnsi="Arial" w:cs="Arial"/>
                <w:sz w:val="18"/>
                <w:szCs w:val="18"/>
                <w:lang w:val="ro-RO"/>
              </w:rPr>
            </w:pPr>
          </w:p>
        </w:tc>
      </w:tr>
      <w:tr w:rsidR="003F60DD" w:rsidRPr="005C2002" w14:paraId="3C6D9A94" w14:textId="77777777" w:rsidTr="00BB1DF9">
        <w:tc>
          <w:tcPr>
            <w:tcW w:w="1346" w:type="dxa"/>
          </w:tcPr>
          <w:p w14:paraId="0B591085" w14:textId="77777777" w:rsidR="003F60DD" w:rsidRPr="005C2002" w:rsidRDefault="003F60DD" w:rsidP="00F7747B">
            <w:pPr>
              <w:ind w:left="426" w:hanging="426"/>
              <w:jc w:val="both"/>
              <w:rPr>
                <w:rFonts w:ascii="Arial" w:hAnsi="Arial" w:cs="Arial"/>
                <w:position w:val="12"/>
                <w:sz w:val="18"/>
                <w:szCs w:val="18"/>
                <w:lang w:val="ro-RO"/>
              </w:rPr>
            </w:pPr>
            <w:r w:rsidRPr="005C2002">
              <w:rPr>
                <w:rFonts w:ascii="Arial" w:hAnsi="Arial" w:cs="Arial"/>
                <w:position w:val="12"/>
                <w:sz w:val="18"/>
                <w:szCs w:val="18"/>
                <w:lang w:val="ro-RO"/>
              </w:rPr>
              <w:t>(</w:t>
            </w:r>
            <w:r w:rsidR="00F7747B" w:rsidRPr="005C2002">
              <w:rPr>
                <w:rFonts w:ascii="Arial" w:hAnsi="Arial" w:cs="Arial"/>
                <w:position w:val="12"/>
                <w:sz w:val="18"/>
                <w:szCs w:val="18"/>
                <w:lang w:val="ro-RO"/>
              </w:rPr>
              <w:t>Locul</w:t>
            </w:r>
            <w:r w:rsidRPr="005C2002">
              <w:rPr>
                <w:rFonts w:ascii="Arial" w:hAnsi="Arial" w:cs="Arial"/>
                <w:position w:val="12"/>
                <w:sz w:val="18"/>
                <w:szCs w:val="18"/>
                <w:lang w:val="ro-RO"/>
              </w:rPr>
              <w:t>)</w:t>
            </w:r>
          </w:p>
        </w:tc>
        <w:tc>
          <w:tcPr>
            <w:tcW w:w="170" w:type="dxa"/>
          </w:tcPr>
          <w:p w14:paraId="72DB85F2" w14:textId="77777777" w:rsidR="003F60DD" w:rsidRPr="005C2002" w:rsidRDefault="003F60DD" w:rsidP="00CF17F4">
            <w:pPr>
              <w:ind w:left="426" w:hanging="426"/>
              <w:jc w:val="both"/>
              <w:rPr>
                <w:rFonts w:ascii="Arial" w:hAnsi="Arial" w:cs="Arial"/>
                <w:position w:val="12"/>
                <w:sz w:val="18"/>
                <w:szCs w:val="18"/>
                <w:lang w:val="ro-RO"/>
              </w:rPr>
            </w:pPr>
          </w:p>
        </w:tc>
        <w:tc>
          <w:tcPr>
            <w:tcW w:w="2268" w:type="dxa"/>
          </w:tcPr>
          <w:p w14:paraId="6AAE87A1" w14:textId="77777777" w:rsidR="003F60DD" w:rsidRPr="005C2002" w:rsidRDefault="003F60DD" w:rsidP="00F7747B">
            <w:pPr>
              <w:ind w:left="426" w:hanging="426"/>
              <w:jc w:val="both"/>
              <w:rPr>
                <w:rFonts w:ascii="Arial" w:hAnsi="Arial" w:cs="Arial"/>
                <w:position w:val="12"/>
                <w:sz w:val="18"/>
                <w:szCs w:val="18"/>
                <w:lang w:val="ro-RO"/>
              </w:rPr>
            </w:pPr>
            <w:r w:rsidRPr="005C2002">
              <w:rPr>
                <w:rFonts w:ascii="Arial" w:hAnsi="Arial" w:cs="Arial"/>
                <w:position w:val="12"/>
                <w:sz w:val="18"/>
                <w:szCs w:val="18"/>
                <w:lang w:val="ro-RO"/>
              </w:rPr>
              <w:t>(Dat</w:t>
            </w:r>
            <w:r w:rsidR="00F7747B" w:rsidRPr="005C2002">
              <w:rPr>
                <w:rFonts w:ascii="Arial" w:hAnsi="Arial" w:cs="Arial"/>
                <w:position w:val="12"/>
                <w:sz w:val="18"/>
                <w:szCs w:val="18"/>
                <w:lang w:val="ro-RO"/>
              </w:rPr>
              <w:t>a</w:t>
            </w:r>
            <w:r w:rsidRPr="005C2002">
              <w:rPr>
                <w:rFonts w:ascii="Arial" w:hAnsi="Arial" w:cs="Arial"/>
                <w:position w:val="12"/>
                <w:sz w:val="18"/>
                <w:szCs w:val="18"/>
                <w:lang w:val="ro-RO"/>
              </w:rPr>
              <w:t>)</w:t>
            </w:r>
          </w:p>
        </w:tc>
        <w:tc>
          <w:tcPr>
            <w:tcW w:w="170" w:type="dxa"/>
          </w:tcPr>
          <w:p w14:paraId="449608ED" w14:textId="77777777" w:rsidR="003F60DD" w:rsidRPr="005C2002" w:rsidRDefault="003F60DD" w:rsidP="00CF17F4">
            <w:pPr>
              <w:ind w:left="426" w:hanging="426"/>
              <w:jc w:val="both"/>
              <w:rPr>
                <w:rFonts w:ascii="Arial" w:hAnsi="Arial" w:cs="Arial"/>
                <w:position w:val="12"/>
                <w:sz w:val="18"/>
                <w:szCs w:val="18"/>
                <w:lang w:val="ro-RO"/>
              </w:rPr>
            </w:pPr>
          </w:p>
        </w:tc>
        <w:tc>
          <w:tcPr>
            <w:tcW w:w="4763" w:type="dxa"/>
          </w:tcPr>
          <w:p w14:paraId="4AE132FB" w14:textId="77777777" w:rsidR="003F60DD" w:rsidRPr="005C2002" w:rsidRDefault="003F60DD" w:rsidP="00F7747B">
            <w:pPr>
              <w:ind w:left="426" w:hanging="426"/>
              <w:jc w:val="both"/>
              <w:rPr>
                <w:rFonts w:ascii="Arial" w:hAnsi="Arial" w:cs="Arial"/>
                <w:position w:val="12"/>
                <w:sz w:val="18"/>
                <w:szCs w:val="18"/>
                <w:lang w:val="ro-RO"/>
              </w:rPr>
            </w:pPr>
            <w:r w:rsidRPr="005C2002">
              <w:rPr>
                <w:rFonts w:ascii="Arial" w:hAnsi="Arial" w:cs="Arial"/>
                <w:position w:val="12"/>
                <w:sz w:val="18"/>
                <w:szCs w:val="18"/>
                <w:lang w:val="ro-RO"/>
              </w:rPr>
              <w:t>(</w:t>
            </w:r>
            <w:r w:rsidR="00F7747B" w:rsidRPr="005C2002">
              <w:rPr>
                <w:rFonts w:ascii="Arial" w:hAnsi="Arial" w:cs="Arial"/>
                <w:position w:val="12"/>
                <w:sz w:val="18"/>
                <w:szCs w:val="18"/>
                <w:lang w:val="ro-RO"/>
              </w:rPr>
              <w:t>Semnătura</w:t>
            </w:r>
            <w:r w:rsidRPr="005C2002">
              <w:rPr>
                <w:rFonts w:ascii="Arial" w:hAnsi="Arial" w:cs="Arial"/>
                <w:position w:val="12"/>
                <w:sz w:val="18"/>
                <w:szCs w:val="18"/>
                <w:lang w:val="ro-RO"/>
              </w:rPr>
              <w:t>)</w:t>
            </w:r>
          </w:p>
        </w:tc>
      </w:tr>
    </w:tbl>
    <w:p w14:paraId="53CFFFF9" w14:textId="77777777" w:rsidR="003F60DD" w:rsidRPr="005C2002" w:rsidRDefault="003F60DD" w:rsidP="00CF17F4">
      <w:pPr>
        <w:ind w:left="426" w:hanging="426"/>
        <w:jc w:val="both"/>
        <w:rPr>
          <w:rFonts w:ascii="Arial" w:hAnsi="Arial" w:cs="Arial"/>
          <w:sz w:val="18"/>
          <w:szCs w:val="18"/>
          <w:lang w:val="ro-RO"/>
        </w:rPr>
      </w:pPr>
    </w:p>
    <w:p w14:paraId="6D9BD5FC" w14:textId="77777777" w:rsidR="0026557F" w:rsidRPr="005C2002" w:rsidRDefault="0026557F" w:rsidP="00CF17F4">
      <w:pPr>
        <w:ind w:left="426" w:hanging="426"/>
        <w:jc w:val="both"/>
        <w:rPr>
          <w:rFonts w:ascii="Arial" w:hAnsi="Arial" w:cs="Arial"/>
          <w:sz w:val="18"/>
          <w:szCs w:val="18"/>
          <w:lang w:val="ro-RO"/>
        </w:rPr>
      </w:pPr>
    </w:p>
    <w:p w14:paraId="0E6D1F48" w14:textId="77777777" w:rsidR="0026557F" w:rsidRPr="00BC65DB" w:rsidRDefault="0026557F" w:rsidP="00CF17F4">
      <w:pPr>
        <w:ind w:left="426" w:hanging="426"/>
        <w:jc w:val="both"/>
        <w:rPr>
          <w:rFonts w:ascii="Arial" w:hAnsi="Arial" w:cs="Arial"/>
          <w:sz w:val="18"/>
          <w:szCs w:val="18"/>
          <w:lang w:val="ro-RO"/>
        </w:rPr>
      </w:pPr>
    </w:p>
    <w:sectPr w:rsidR="0026557F" w:rsidRPr="00BC65DB" w:rsidSect="00CF17F4">
      <w:footerReference w:type="even" r:id="rId9"/>
      <w:foot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0004E" w14:textId="77777777" w:rsidR="0063111F" w:rsidRDefault="0063111F">
      <w:r>
        <w:separator/>
      </w:r>
    </w:p>
  </w:endnote>
  <w:endnote w:type="continuationSeparator" w:id="0">
    <w:p w14:paraId="4A65D964" w14:textId="77777777" w:rsidR="0063111F" w:rsidRDefault="0063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E85" w14:textId="77777777" w:rsidR="00AE7BCE" w:rsidRDefault="00AE7BCE" w:rsidP="00BB1DF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6E291AD" w14:textId="77777777" w:rsidR="00AE7BCE" w:rsidRDefault="00AE7BCE" w:rsidP="003F60D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2324" w14:textId="66B15811" w:rsidR="00AE7BCE" w:rsidRPr="00CF17F4" w:rsidRDefault="00AE7BCE">
    <w:pPr>
      <w:pStyle w:val="Fuzeile"/>
      <w:jc w:val="right"/>
      <w:rPr>
        <w:rFonts w:ascii="Arial" w:hAnsi="Arial" w:cs="Arial"/>
        <w:sz w:val="20"/>
        <w:szCs w:val="20"/>
      </w:rPr>
    </w:pPr>
    <w:r w:rsidRPr="00CF17F4">
      <w:rPr>
        <w:rFonts w:ascii="Arial" w:hAnsi="Arial" w:cs="Arial"/>
        <w:sz w:val="20"/>
        <w:szCs w:val="20"/>
      </w:rPr>
      <w:fldChar w:fldCharType="begin"/>
    </w:r>
    <w:r w:rsidRPr="00CF17F4">
      <w:rPr>
        <w:rFonts w:ascii="Arial" w:hAnsi="Arial" w:cs="Arial"/>
        <w:sz w:val="20"/>
        <w:szCs w:val="20"/>
      </w:rPr>
      <w:instrText>PAGE   \* MERGEFORMAT</w:instrText>
    </w:r>
    <w:r w:rsidRPr="00CF17F4">
      <w:rPr>
        <w:rFonts w:ascii="Arial" w:hAnsi="Arial" w:cs="Arial"/>
        <w:sz w:val="20"/>
        <w:szCs w:val="20"/>
      </w:rPr>
      <w:fldChar w:fldCharType="separate"/>
    </w:r>
    <w:r w:rsidR="00E421B9">
      <w:rPr>
        <w:rFonts w:ascii="Arial" w:hAnsi="Arial" w:cs="Arial"/>
        <w:noProof/>
        <w:sz w:val="20"/>
        <w:szCs w:val="20"/>
      </w:rPr>
      <w:t>2</w:t>
    </w:r>
    <w:r w:rsidRPr="00CF17F4">
      <w:rPr>
        <w:rFonts w:ascii="Arial" w:hAnsi="Arial" w:cs="Arial"/>
        <w:sz w:val="20"/>
        <w:szCs w:val="20"/>
      </w:rPr>
      <w:fldChar w:fldCharType="end"/>
    </w:r>
  </w:p>
  <w:p w14:paraId="5DA3FBE9" w14:textId="77777777" w:rsidR="00AE7BCE" w:rsidRDefault="00AE7BCE" w:rsidP="00CF17F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DDF8" w14:textId="77777777" w:rsidR="0063111F" w:rsidRDefault="0063111F">
      <w:r>
        <w:separator/>
      </w:r>
    </w:p>
  </w:footnote>
  <w:footnote w:type="continuationSeparator" w:id="0">
    <w:p w14:paraId="7CCB1E40" w14:textId="77777777" w:rsidR="0063111F" w:rsidRDefault="00631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86BEB"/>
    <w:multiLevelType w:val="hybridMultilevel"/>
    <w:tmpl w:val="E88C012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75FB5D92"/>
    <w:multiLevelType w:val="hybridMultilevel"/>
    <w:tmpl w:val="8E0E259E"/>
    <w:lvl w:ilvl="0" w:tplc="ED962F2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D99"/>
    <w:rsid w:val="00001E2C"/>
    <w:rsid w:val="000104B4"/>
    <w:rsid w:val="0001644A"/>
    <w:rsid w:val="00056D66"/>
    <w:rsid w:val="000B6CBF"/>
    <w:rsid w:val="000C5435"/>
    <w:rsid w:val="000D6D6F"/>
    <w:rsid w:val="000F0FB9"/>
    <w:rsid w:val="000F3D99"/>
    <w:rsid w:val="00124609"/>
    <w:rsid w:val="00150B47"/>
    <w:rsid w:val="001A24C4"/>
    <w:rsid w:val="001C5BD6"/>
    <w:rsid w:val="001D64EA"/>
    <w:rsid w:val="001F5BF7"/>
    <w:rsid w:val="00206034"/>
    <w:rsid w:val="00214A00"/>
    <w:rsid w:val="00217601"/>
    <w:rsid w:val="00222E7B"/>
    <w:rsid w:val="002253A9"/>
    <w:rsid w:val="00245411"/>
    <w:rsid w:val="0026557F"/>
    <w:rsid w:val="0027016E"/>
    <w:rsid w:val="002B70D0"/>
    <w:rsid w:val="002D2175"/>
    <w:rsid w:val="002E1351"/>
    <w:rsid w:val="002E2342"/>
    <w:rsid w:val="002E5238"/>
    <w:rsid w:val="002E6738"/>
    <w:rsid w:val="00314D1A"/>
    <w:rsid w:val="003241C6"/>
    <w:rsid w:val="00332D76"/>
    <w:rsid w:val="00345239"/>
    <w:rsid w:val="00352208"/>
    <w:rsid w:val="00362F0F"/>
    <w:rsid w:val="00365FAC"/>
    <w:rsid w:val="00374557"/>
    <w:rsid w:val="00387C80"/>
    <w:rsid w:val="00391737"/>
    <w:rsid w:val="00393474"/>
    <w:rsid w:val="003A649F"/>
    <w:rsid w:val="003B44CE"/>
    <w:rsid w:val="003B7DF9"/>
    <w:rsid w:val="003F60DD"/>
    <w:rsid w:val="004014F0"/>
    <w:rsid w:val="00402B64"/>
    <w:rsid w:val="004052CD"/>
    <w:rsid w:val="004167A4"/>
    <w:rsid w:val="0042188F"/>
    <w:rsid w:val="00431172"/>
    <w:rsid w:val="00436831"/>
    <w:rsid w:val="00465A6E"/>
    <w:rsid w:val="00466371"/>
    <w:rsid w:val="004821F4"/>
    <w:rsid w:val="00491DDD"/>
    <w:rsid w:val="00493D2E"/>
    <w:rsid w:val="004B262D"/>
    <w:rsid w:val="004C2F01"/>
    <w:rsid w:val="004D2666"/>
    <w:rsid w:val="004F1563"/>
    <w:rsid w:val="004F4FDC"/>
    <w:rsid w:val="005154AD"/>
    <w:rsid w:val="0053129E"/>
    <w:rsid w:val="00592632"/>
    <w:rsid w:val="005C2002"/>
    <w:rsid w:val="00604A81"/>
    <w:rsid w:val="00620D7A"/>
    <w:rsid w:val="0063111F"/>
    <w:rsid w:val="00643747"/>
    <w:rsid w:val="00674433"/>
    <w:rsid w:val="00685ABA"/>
    <w:rsid w:val="006918CD"/>
    <w:rsid w:val="00696F36"/>
    <w:rsid w:val="006A4966"/>
    <w:rsid w:val="006B1E18"/>
    <w:rsid w:val="006D1DF8"/>
    <w:rsid w:val="006F5263"/>
    <w:rsid w:val="00703FA1"/>
    <w:rsid w:val="007476BF"/>
    <w:rsid w:val="00757C03"/>
    <w:rsid w:val="0076118D"/>
    <w:rsid w:val="007A7E7F"/>
    <w:rsid w:val="007C114A"/>
    <w:rsid w:val="007D7AA7"/>
    <w:rsid w:val="00801B99"/>
    <w:rsid w:val="008372A6"/>
    <w:rsid w:val="00854A46"/>
    <w:rsid w:val="0086451F"/>
    <w:rsid w:val="0087191B"/>
    <w:rsid w:val="008A2210"/>
    <w:rsid w:val="008A5AC8"/>
    <w:rsid w:val="008C747A"/>
    <w:rsid w:val="008C7E57"/>
    <w:rsid w:val="008E6380"/>
    <w:rsid w:val="008F1494"/>
    <w:rsid w:val="00910D8D"/>
    <w:rsid w:val="00971465"/>
    <w:rsid w:val="009A2542"/>
    <w:rsid w:val="009A508B"/>
    <w:rsid w:val="009D04F4"/>
    <w:rsid w:val="009E55E3"/>
    <w:rsid w:val="009F4E0F"/>
    <w:rsid w:val="00A0533D"/>
    <w:rsid w:val="00A33583"/>
    <w:rsid w:val="00A4305E"/>
    <w:rsid w:val="00A4405F"/>
    <w:rsid w:val="00A45B23"/>
    <w:rsid w:val="00A55DA9"/>
    <w:rsid w:val="00A65121"/>
    <w:rsid w:val="00AC6795"/>
    <w:rsid w:val="00AD2741"/>
    <w:rsid w:val="00AE7BCE"/>
    <w:rsid w:val="00AF3A99"/>
    <w:rsid w:val="00AF6653"/>
    <w:rsid w:val="00B20FAF"/>
    <w:rsid w:val="00B215EB"/>
    <w:rsid w:val="00B337DF"/>
    <w:rsid w:val="00B46E6B"/>
    <w:rsid w:val="00B56D7D"/>
    <w:rsid w:val="00B71A55"/>
    <w:rsid w:val="00B73020"/>
    <w:rsid w:val="00B94E9E"/>
    <w:rsid w:val="00B9543A"/>
    <w:rsid w:val="00BA2F59"/>
    <w:rsid w:val="00BA630B"/>
    <w:rsid w:val="00BA7FEB"/>
    <w:rsid w:val="00BB1DF9"/>
    <w:rsid w:val="00BB370F"/>
    <w:rsid w:val="00BB3A3F"/>
    <w:rsid w:val="00BC457B"/>
    <w:rsid w:val="00BC55CD"/>
    <w:rsid w:val="00BC65DB"/>
    <w:rsid w:val="00BD75DD"/>
    <w:rsid w:val="00BE4502"/>
    <w:rsid w:val="00BE73D3"/>
    <w:rsid w:val="00BF768B"/>
    <w:rsid w:val="00C0220D"/>
    <w:rsid w:val="00C04455"/>
    <w:rsid w:val="00C16FE5"/>
    <w:rsid w:val="00C277F3"/>
    <w:rsid w:val="00C30987"/>
    <w:rsid w:val="00C32F2A"/>
    <w:rsid w:val="00C34CDC"/>
    <w:rsid w:val="00C354A7"/>
    <w:rsid w:val="00C3612A"/>
    <w:rsid w:val="00C61029"/>
    <w:rsid w:val="00C8294D"/>
    <w:rsid w:val="00C82C4C"/>
    <w:rsid w:val="00C93319"/>
    <w:rsid w:val="00CC4198"/>
    <w:rsid w:val="00CD35A8"/>
    <w:rsid w:val="00CE2BD5"/>
    <w:rsid w:val="00CF17F4"/>
    <w:rsid w:val="00D00130"/>
    <w:rsid w:val="00D04611"/>
    <w:rsid w:val="00D17C2E"/>
    <w:rsid w:val="00D30FBB"/>
    <w:rsid w:val="00D40737"/>
    <w:rsid w:val="00D511EE"/>
    <w:rsid w:val="00D60D89"/>
    <w:rsid w:val="00D73249"/>
    <w:rsid w:val="00D900BA"/>
    <w:rsid w:val="00DA1EBD"/>
    <w:rsid w:val="00DB5E34"/>
    <w:rsid w:val="00DC321C"/>
    <w:rsid w:val="00E00B4F"/>
    <w:rsid w:val="00E021AC"/>
    <w:rsid w:val="00E105F8"/>
    <w:rsid w:val="00E41E97"/>
    <w:rsid w:val="00E421B9"/>
    <w:rsid w:val="00E74C77"/>
    <w:rsid w:val="00EA36EE"/>
    <w:rsid w:val="00EB35E2"/>
    <w:rsid w:val="00EC0AC2"/>
    <w:rsid w:val="00EF2762"/>
    <w:rsid w:val="00EF324A"/>
    <w:rsid w:val="00EF5170"/>
    <w:rsid w:val="00EF79FE"/>
    <w:rsid w:val="00F07FC5"/>
    <w:rsid w:val="00F132C4"/>
    <w:rsid w:val="00F44EB3"/>
    <w:rsid w:val="00F464AB"/>
    <w:rsid w:val="00F73DB0"/>
    <w:rsid w:val="00F7747B"/>
    <w:rsid w:val="00FA4F4C"/>
    <w:rsid w:val="00FB7004"/>
    <w:rsid w:val="00FD1CA3"/>
    <w:rsid w:val="00FE0896"/>
    <w:rsid w:val="00FF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47CE04"/>
  <w15:chartTrackingRefBased/>
  <w15:docId w15:val="{953D734A-3607-45A1-BD86-2612BBEA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D2741"/>
    <w:rPr>
      <w:color w:val="0000FF"/>
      <w:u w:val="single"/>
    </w:rPr>
  </w:style>
  <w:style w:type="paragraph" w:styleId="Fuzeile">
    <w:name w:val="footer"/>
    <w:basedOn w:val="Standard"/>
    <w:link w:val="FuzeileZchn"/>
    <w:uiPriority w:val="99"/>
    <w:rsid w:val="003F60DD"/>
    <w:pPr>
      <w:tabs>
        <w:tab w:val="center" w:pos="4536"/>
        <w:tab w:val="right" w:pos="9072"/>
      </w:tabs>
    </w:pPr>
  </w:style>
  <w:style w:type="character" w:styleId="Seitenzahl">
    <w:name w:val="page number"/>
    <w:basedOn w:val="Absatz-Standardschriftart"/>
    <w:rsid w:val="003F60DD"/>
  </w:style>
  <w:style w:type="paragraph" w:styleId="Sprechblasentext">
    <w:name w:val="Balloon Text"/>
    <w:basedOn w:val="Standard"/>
    <w:semiHidden/>
    <w:rsid w:val="00B46E6B"/>
    <w:rPr>
      <w:rFonts w:ascii="Tahoma" w:hAnsi="Tahoma" w:cs="Tahoma"/>
      <w:sz w:val="16"/>
      <w:szCs w:val="16"/>
    </w:rPr>
  </w:style>
  <w:style w:type="paragraph" w:styleId="Kopfzeile">
    <w:name w:val="header"/>
    <w:basedOn w:val="Standard"/>
    <w:rsid w:val="00E021AC"/>
    <w:pPr>
      <w:tabs>
        <w:tab w:val="center" w:pos="4536"/>
        <w:tab w:val="right" w:pos="9072"/>
      </w:tabs>
    </w:pPr>
  </w:style>
  <w:style w:type="character" w:customStyle="1" w:styleId="FuzeileZchn">
    <w:name w:val="Fußzeile Zchn"/>
    <w:link w:val="Fuzeile"/>
    <w:uiPriority w:val="99"/>
    <w:rsid w:val="007476BF"/>
    <w:rPr>
      <w:sz w:val="24"/>
      <w:szCs w:val="24"/>
      <w:lang w:eastAsia="de-DE"/>
    </w:rPr>
  </w:style>
  <w:style w:type="paragraph" w:styleId="Listenabsatz">
    <w:name w:val="List Paragraph"/>
    <w:basedOn w:val="Standard"/>
    <w:uiPriority w:val="34"/>
    <w:qFormat/>
    <w:rsid w:val="00BF768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asto-group.com/en/the-company/supplier-porta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E016702EFF1F48B2FE3420BF8EF390" ma:contentTypeVersion="18" ma:contentTypeDescription="Ein neues Dokument erstellen." ma:contentTypeScope="" ma:versionID="848c472d824d4140624a3fea8ad47837">
  <xsd:schema xmlns:xsd="http://www.w3.org/2001/XMLSchema" xmlns:xs="http://www.w3.org/2001/XMLSchema" xmlns:p="http://schemas.microsoft.com/office/2006/metadata/properties" xmlns:ns2="3e796d27-2c20-4b5e-8f1c-6550bf98ea92" xmlns:ns3="2c2b8700-8826-42e5-91d3-7afad158ca9b" targetNamespace="http://schemas.microsoft.com/office/2006/metadata/properties" ma:root="true" ma:fieldsID="30e16f38545a7b1803713c8c0fb5fcde" ns2:_="" ns3:_="">
    <xsd:import namespace="3e796d27-2c20-4b5e-8f1c-6550bf98ea92"/>
    <xsd:import namespace="2c2b8700-8826-42e5-91d3-7afad158ca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96d27-2c20-4b5e-8f1c-6550bf98e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e7a28d2-a264-4612-bbed-5693837e3be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2b8700-8826-42e5-91d3-7afad158ca9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cf95197-79e2-44d1-9a01-423f23305d29}" ma:internalName="TaxCatchAll" ma:showField="CatchAllData" ma:web="2c2b8700-8826-42e5-91d3-7afad158c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c2b8700-8826-42e5-91d3-7afad158ca9b" xsi:nil="true"/>
    <lcf76f155ced4ddcb4097134ff3c332f xmlns="3e796d27-2c20-4b5e-8f1c-6550bf98ea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224F82-4457-4C28-A96F-1D40B50AA23B}">
  <ds:schemaRefs>
    <ds:schemaRef ds:uri="http://schemas.openxmlformats.org/officeDocument/2006/bibliography"/>
  </ds:schemaRefs>
</ds:datastoreItem>
</file>

<file path=customXml/itemProps2.xml><?xml version="1.0" encoding="utf-8"?>
<ds:datastoreItem xmlns:ds="http://schemas.openxmlformats.org/officeDocument/2006/customXml" ds:itemID="{75E80D2D-790E-4BC1-AAD9-CC39EBDF7235}"/>
</file>

<file path=customXml/itemProps3.xml><?xml version="1.0" encoding="utf-8"?>
<ds:datastoreItem xmlns:ds="http://schemas.openxmlformats.org/officeDocument/2006/customXml" ds:itemID="{692B2FB1-0136-4C45-9367-2E98B4195E00}"/>
</file>

<file path=customXml/itemProps4.xml><?xml version="1.0" encoding="utf-8"?>
<ds:datastoreItem xmlns:ds="http://schemas.openxmlformats.org/officeDocument/2006/customXml" ds:itemID="{120E1A97-64BF-46A4-AFA5-7A10E29791A9}"/>
</file>

<file path=docProps/app.xml><?xml version="1.0" encoding="utf-8"?>
<Properties xmlns="http://schemas.openxmlformats.org/officeDocument/2006/extended-properties" xmlns:vt="http://schemas.openxmlformats.org/officeDocument/2006/docPropsVTypes">
  <Template>Normal</Template>
  <TotalTime>0</TotalTime>
  <Pages>2</Pages>
  <Words>1239</Words>
  <Characters>7675</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Rahmenliefervertrag</vt:lpstr>
      <vt:lpstr>Rahmenliefervertrag</vt:lpstr>
    </vt:vector>
  </TitlesOfParts>
  <Company>Webasto</Company>
  <LinksUpToDate>false</LinksUpToDate>
  <CharactersWithSpaces>8897</CharactersWithSpaces>
  <SharedDoc>false</SharedDoc>
  <HLinks>
    <vt:vector size="6" baseType="variant">
      <vt:variant>
        <vt:i4>6488177</vt:i4>
      </vt:variant>
      <vt:variant>
        <vt:i4>0</vt:i4>
      </vt:variant>
      <vt:variant>
        <vt:i4>0</vt:i4>
      </vt:variant>
      <vt:variant>
        <vt:i4>5</vt:i4>
      </vt:variant>
      <vt:variant>
        <vt:lpwstr>http://startsuppliers.webasto.com/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Rahmenliefervertrag</dc:title>
  <dc:subject/>
  <dc:creator>PLH</dc:creator>
  <cp:keywords/>
  <cp:lastModifiedBy>Bester, Yvonne</cp:lastModifiedBy>
  <cp:revision>3</cp:revision>
  <cp:lastPrinted>2009-02-06T12:07:00Z</cp:lastPrinted>
  <dcterms:created xsi:type="dcterms:W3CDTF">2023-01-26T09:02:00Z</dcterms:created>
  <dcterms:modified xsi:type="dcterms:W3CDTF">2023-01-26T09:03:00Z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ccab57-f2b5-4bd4-ab92-cdff6dbd32f2_Enabled">
    <vt:lpwstr>true</vt:lpwstr>
  </property>
  <property fmtid="{D5CDD505-2E9C-101B-9397-08002B2CF9AE}" pid="3" name="MSIP_Label_03ccab57-f2b5-4bd4-ab92-cdff6dbd32f2_SetDate">
    <vt:lpwstr>2023-01-26T09:02:35Z</vt:lpwstr>
  </property>
  <property fmtid="{D5CDD505-2E9C-101B-9397-08002B2CF9AE}" pid="4" name="MSIP_Label_03ccab57-f2b5-4bd4-ab92-cdff6dbd32f2_Method">
    <vt:lpwstr>Standard</vt:lpwstr>
  </property>
  <property fmtid="{D5CDD505-2E9C-101B-9397-08002B2CF9AE}" pid="5" name="MSIP_Label_03ccab57-f2b5-4bd4-ab92-cdff6dbd32f2_Name">
    <vt:lpwstr>Internal</vt:lpwstr>
  </property>
  <property fmtid="{D5CDD505-2E9C-101B-9397-08002B2CF9AE}" pid="6" name="MSIP_Label_03ccab57-f2b5-4bd4-ab92-cdff6dbd32f2_SiteId">
    <vt:lpwstr>8ef752bc-46e6-461f-9327-b7be5ad1d28d</vt:lpwstr>
  </property>
  <property fmtid="{D5CDD505-2E9C-101B-9397-08002B2CF9AE}" pid="7" name="MSIP_Label_03ccab57-f2b5-4bd4-ab92-cdff6dbd32f2_ActionId">
    <vt:lpwstr>e3578268-a6d1-40cf-ae89-a46c0e61fb08</vt:lpwstr>
  </property>
  <property fmtid="{D5CDD505-2E9C-101B-9397-08002B2CF9AE}" pid="8" name="MSIP_Label_03ccab57-f2b5-4bd4-ab92-cdff6dbd32f2_ContentBits">
    <vt:lpwstr>0</vt:lpwstr>
  </property>
  <property fmtid="{D5CDD505-2E9C-101B-9397-08002B2CF9AE}" pid="9" name="ContentTypeId">
    <vt:lpwstr>0x0101009BE016702EFF1F48B2FE3420BF8EF390</vt:lpwstr>
  </property>
</Properties>
</file>